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72487" w14:textId="2E715722" w:rsidR="00A4778B" w:rsidRPr="00062CA9" w:rsidRDefault="006201D8" w:rsidP="00A9750B">
      <w:pPr>
        <w:pStyle w:val="SupenEncabezado"/>
        <w:spacing w:line="240" w:lineRule="auto"/>
        <w:contextualSpacing/>
        <w:rPr>
          <w:rStyle w:val="SupenEncabezadoCar"/>
          <w:rFonts w:cs="Times New Roman"/>
          <w:b/>
          <w:bCs/>
          <w:szCs w:val="24"/>
        </w:rPr>
      </w:pPr>
      <w:sdt>
        <w:sdtPr>
          <w:rPr>
            <w:rStyle w:val="SupenEncabezadoCar"/>
            <w:rFonts w:cs="Times New Roman"/>
            <w:b/>
            <w:bCs/>
            <w:szCs w:val="24"/>
          </w:rPr>
          <w:alias w:val="Código"/>
          <w:tag w:val="A"/>
          <w:id w:val="1991359848"/>
          <w:lock w:val="sdtLocked"/>
          <w:placeholder>
            <w:docPart w:val="5133B443C32D4BBA84994ED17141131F"/>
          </w:placeholder>
          <w:text/>
        </w:sdtPr>
        <w:sdtEndPr>
          <w:rPr>
            <w:rStyle w:val="SupenEncabezadoCar"/>
          </w:rPr>
        </w:sdtEndPr>
        <w:sdtContent>
          <w:r w:rsidR="00062CA9" w:rsidRPr="00062CA9">
            <w:rPr>
              <w:rStyle w:val="SupenEncabezadoCar"/>
              <w:rFonts w:cs="Times New Roman"/>
              <w:b/>
              <w:bCs/>
              <w:szCs w:val="24"/>
            </w:rPr>
            <w:t>SP-A-255-2022</w:t>
          </w:r>
        </w:sdtContent>
      </w:sdt>
    </w:p>
    <w:p w14:paraId="0621091E" w14:textId="77777777" w:rsidR="003262D5" w:rsidRPr="00E312ED" w:rsidRDefault="003262D5" w:rsidP="00A9750B">
      <w:pPr>
        <w:spacing w:line="240" w:lineRule="auto"/>
        <w:contextualSpacing/>
        <w:jc w:val="center"/>
        <w:rPr>
          <w:rFonts w:cs="Times New Roman"/>
          <w:szCs w:val="24"/>
        </w:rPr>
      </w:pPr>
    </w:p>
    <w:p w14:paraId="3C676E9C" w14:textId="79C90BF4" w:rsidR="00A120AD" w:rsidRPr="00E312ED" w:rsidRDefault="007A6401" w:rsidP="00A9750B">
      <w:pPr>
        <w:pStyle w:val="Prrafodelista"/>
        <w:spacing w:line="240" w:lineRule="auto"/>
        <w:jc w:val="center"/>
        <w:rPr>
          <w:rFonts w:cs="Times New Roman"/>
          <w:b/>
          <w:bCs/>
          <w:szCs w:val="24"/>
        </w:rPr>
      </w:pPr>
      <w:r w:rsidRPr="007A6401">
        <w:rPr>
          <w:rFonts w:cs="Times New Roman"/>
          <w:b/>
          <w:bCs/>
          <w:szCs w:val="24"/>
        </w:rPr>
        <w:t>SE REFORMAN LOS ARTÍCULOS 3</w:t>
      </w:r>
      <w:r w:rsidR="002E6179">
        <w:rPr>
          <w:rFonts w:cs="Times New Roman"/>
          <w:b/>
          <w:bCs/>
          <w:szCs w:val="24"/>
        </w:rPr>
        <w:t xml:space="preserve"> </w:t>
      </w:r>
      <w:r w:rsidRPr="007A6401">
        <w:rPr>
          <w:rFonts w:cs="Times New Roman"/>
          <w:b/>
          <w:bCs/>
          <w:szCs w:val="24"/>
        </w:rPr>
        <w:t>Y 15</w:t>
      </w:r>
      <w:r w:rsidR="00B64F21">
        <w:rPr>
          <w:rFonts w:cs="Times New Roman"/>
          <w:b/>
          <w:bCs/>
          <w:szCs w:val="24"/>
        </w:rPr>
        <w:t xml:space="preserve">, </w:t>
      </w:r>
      <w:r w:rsidR="001E3490">
        <w:rPr>
          <w:rFonts w:cs="Times New Roman"/>
          <w:b/>
          <w:bCs/>
          <w:szCs w:val="24"/>
        </w:rPr>
        <w:t xml:space="preserve">AMBOS </w:t>
      </w:r>
      <w:r w:rsidRPr="007A6401">
        <w:rPr>
          <w:rFonts w:cs="Times New Roman"/>
          <w:b/>
          <w:bCs/>
          <w:szCs w:val="24"/>
        </w:rPr>
        <w:t xml:space="preserve">DEL </w:t>
      </w:r>
      <w:r w:rsidRPr="00E312ED">
        <w:rPr>
          <w:rFonts w:cs="Times New Roman"/>
          <w:b/>
          <w:bCs/>
          <w:szCs w:val="24"/>
        </w:rPr>
        <w:t>ACUERDO SP-A-141-2010, DE LAS ONCE HORAS DEL TREINTA DE ABRIL DE 2010</w:t>
      </w:r>
    </w:p>
    <w:p w14:paraId="557EC4BD" w14:textId="77777777" w:rsidR="00F65429" w:rsidRDefault="00F65429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30A4C20B" w14:textId="4861608D" w:rsidR="00291B81" w:rsidRPr="00A9750B" w:rsidRDefault="00291B81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A9750B">
        <w:rPr>
          <w:rFonts w:cs="Times New Roman"/>
          <w:szCs w:val="24"/>
        </w:rPr>
        <w:t xml:space="preserve">Superintendencia de Pensiones, al ser las </w:t>
      </w:r>
      <w:r w:rsidR="003515B8" w:rsidRPr="00A9750B">
        <w:rPr>
          <w:rFonts w:cs="Times New Roman"/>
          <w:szCs w:val="24"/>
        </w:rPr>
        <w:t>quince</w:t>
      </w:r>
      <w:r w:rsidRPr="00A9750B">
        <w:rPr>
          <w:rFonts w:cs="Times New Roman"/>
          <w:szCs w:val="24"/>
        </w:rPr>
        <w:t xml:space="preserve"> horas del día </w:t>
      </w:r>
      <w:r w:rsidR="003515B8" w:rsidRPr="00A9750B">
        <w:rPr>
          <w:rFonts w:cs="Times New Roman"/>
          <w:szCs w:val="24"/>
        </w:rPr>
        <w:t>dos</w:t>
      </w:r>
      <w:r w:rsidRPr="00A9750B">
        <w:rPr>
          <w:rFonts w:cs="Times New Roman"/>
          <w:szCs w:val="24"/>
        </w:rPr>
        <w:t xml:space="preserve"> de </w:t>
      </w:r>
      <w:r w:rsidR="003515B8" w:rsidRPr="00A9750B">
        <w:rPr>
          <w:rFonts w:cs="Times New Roman"/>
          <w:szCs w:val="24"/>
        </w:rPr>
        <w:t>setiembre</w:t>
      </w:r>
      <w:r w:rsidRPr="00A9750B">
        <w:rPr>
          <w:rFonts w:cs="Times New Roman"/>
          <w:szCs w:val="24"/>
        </w:rPr>
        <w:t xml:space="preserve"> de 20</w:t>
      </w:r>
      <w:r w:rsidR="009439BD" w:rsidRPr="00A9750B">
        <w:rPr>
          <w:rFonts w:cs="Times New Roman"/>
          <w:szCs w:val="24"/>
        </w:rPr>
        <w:t>2</w:t>
      </w:r>
      <w:r w:rsidR="00EF76C9" w:rsidRPr="00A9750B">
        <w:rPr>
          <w:rFonts w:cs="Times New Roman"/>
          <w:szCs w:val="24"/>
        </w:rPr>
        <w:t>2.</w:t>
      </w:r>
    </w:p>
    <w:p w14:paraId="3BB4E8C1" w14:textId="77777777" w:rsidR="003D4A24" w:rsidRPr="00A9750B" w:rsidRDefault="003D4A24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315364D4" w14:textId="18752458" w:rsidR="00D336F0" w:rsidRPr="00E312ED" w:rsidRDefault="00AA3BE4" w:rsidP="00A9750B">
      <w:pPr>
        <w:spacing w:line="240" w:lineRule="auto"/>
        <w:contextualSpacing/>
        <w:jc w:val="center"/>
        <w:rPr>
          <w:rFonts w:eastAsia="Times New Roman" w:cs="Times New Roman"/>
          <w:b/>
          <w:szCs w:val="24"/>
          <w:lang w:val="es-CR" w:eastAsia="es-ES"/>
        </w:rPr>
      </w:pPr>
      <w:r w:rsidRPr="00E312ED">
        <w:rPr>
          <w:rFonts w:eastAsia="Times New Roman" w:cs="Times New Roman"/>
          <w:b/>
          <w:szCs w:val="24"/>
          <w:lang w:val="es-CR" w:eastAsia="es-ES"/>
        </w:rPr>
        <w:t>CONSIDERANDO:</w:t>
      </w:r>
    </w:p>
    <w:p w14:paraId="674FDE8C" w14:textId="77777777" w:rsidR="00D336F0" w:rsidRPr="00E312ED" w:rsidRDefault="00D336F0" w:rsidP="00A9750B">
      <w:pPr>
        <w:spacing w:line="240" w:lineRule="auto"/>
        <w:contextualSpacing/>
        <w:jc w:val="both"/>
        <w:rPr>
          <w:rFonts w:eastAsia="Times New Roman" w:cs="Times New Roman"/>
          <w:b/>
          <w:szCs w:val="24"/>
          <w:lang w:val="es-CR" w:eastAsia="es-ES"/>
        </w:rPr>
      </w:pPr>
    </w:p>
    <w:p w14:paraId="7E199046" w14:textId="1B3D46E4" w:rsidR="00AC6495" w:rsidRPr="00E312ED" w:rsidRDefault="00E3145F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eastAsia="Times New Roman" w:cs="Times New Roman"/>
          <w:szCs w:val="24"/>
          <w:lang w:eastAsia="es-ES"/>
        </w:rPr>
        <w:t xml:space="preserve">El artículo 38, inciso a) de la </w:t>
      </w:r>
      <w:r w:rsidR="009439BD" w:rsidRPr="00E312ED">
        <w:rPr>
          <w:rFonts w:eastAsia="Times New Roman" w:cs="Times New Roman"/>
          <w:szCs w:val="24"/>
          <w:lang w:eastAsia="es-ES"/>
        </w:rPr>
        <w:t>l</w:t>
      </w:r>
      <w:r w:rsidRPr="00E312ED">
        <w:rPr>
          <w:rFonts w:eastAsia="Times New Roman" w:cs="Times New Roman"/>
          <w:szCs w:val="24"/>
          <w:lang w:eastAsia="es-ES"/>
        </w:rPr>
        <w:t xml:space="preserve">ey N°7523, </w:t>
      </w:r>
      <w:r w:rsidRPr="00E312ED">
        <w:rPr>
          <w:rFonts w:eastAsia="Times New Roman" w:cs="Times New Roman"/>
          <w:i/>
          <w:iCs/>
          <w:szCs w:val="24"/>
          <w:lang w:eastAsia="es-ES"/>
        </w:rPr>
        <w:t>Régimen Privado de Pensiones Complementarias</w:t>
      </w:r>
      <w:r w:rsidRPr="00E312ED">
        <w:rPr>
          <w:rFonts w:eastAsia="Times New Roman" w:cs="Times New Roman"/>
          <w:szCs w:val="24"/>
          <w:lang w:eastAsia="es-ES"/>
        </w:rPr>
        <w:t>, establece, como una atribución del Superintendente de Pensiones, proponer al Consejo Nacional de Supervisión del Sistema Financiero los reglamentos necesarios para ejercer y llevar a cabo las competencias y funciones de la Superintendencia a su cargo.</w:t>
      </w:r>
    </w:p>
    <w:p w14:paraId="35C0D174" w14:textId="77777777" w:rsidR="00AC6495" w:rsidRPr="00E312ED" w:rsidRDefault="00AC6495" w:rsidP="00A9750B">
      <w:pPr>
        <w:pStyle w:val="Prrafodelista"/>
        <w:spacing w:line="240" w:lineRule="auto"/>
        <w:jc w:val="both"/>
        <w:rPr>
          <w:rFonts w:eastAsia="Times New Roman" w:cs="Times New Roman"/>
          <w:szCs w:val="24"/>
          <w:lang w:eastAsia="es-ES"/>
        </w:rPr>
      </w:pPr>
    </w:p>
    <w:p w14:paraId="41302B14" w14:textId="1A67D596" w:rsidR="00E3145F" w:rsidRPr="00E312ED" w:rsidRDefault="00E3145F" w:rsidP="00A9750B">
      <w:pPr>
        <w:pStyle w:val="Prrafodelista"/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eastAsia="Times New Roman" w:cs="Times New Roman"/>
          <w:szCs w:val="24"/>
          <w:lang w:eastAsia="es-ES"/>
        </w:rPr>
        <w:t xml:space="preserve">Colateralmente, el artículo 171, inciso b), de la Ley N°7732, </w:t>
      </w:r>
      <w:r w:rsidRPr="00E312ED">
        <w:rPr>
          <w:rFonts w:eastAsia="Times New Roman" w:cs="Times New Roman"/>
          <w:i/>
          <w:iCs/>
          <w:szCs w:val="24"/>
          <w:lang w:eastAsia="es-ES"/>
        </w:rPr>
        <w:t>Ley Reguladora del Mercado de Valores</w:t>
      </w:r>
      <w:r w:rsidRPr="00E312ED">
        <w:rPr>
          <w:rFonts w:eastAsia="Times New Roman" w:cs="Times New Roman"/>
          <w:szCs w:val="24"/>
          <w:lang w:eastAsia="es-ES"/>
        </w:rPr>
        <w:t>, señala, como una competencia del Consejo Nacional de Supervisión del Sistema Financiero, aprobar las normas atinentes a la autorización, regulación, supervisión, fiscalización y vigilancia que, conforme a la ley, debe ejecutar, en lo que interesa, la Superintendencia de Pensiones.</w:t>
      </w:r>
    </w:p>
    <w:p w14:paraId="6FF1733B" w14:textId="77777777" w:rsidR="00AC6495" w:rsidRPr="00E312ED" w:rsidRDefault="00AC6495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eastAsia="es-ES"/>
        </w:rPr>
      </w:pPr>
    </w:p>
    <w:p w14:paraId="1CDE9DE4" w14:textId="1E5610C9" w:rsidR="00F104A1" w:rsidRPr="00E312ED" w:rsidRDefault="00F104A1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cs="Times New Roman"/>
          <w:szCs w:val="24"/>
        </w:rPr>
        <w:t xml:space="preserve">De conformidad con el inciso f) del artículo 38 de la </w:t>
      </w:r>
      <w:r w:rsidR="00CB4DCE" w:rsidRPr="00E312ED">
        <w:rPr>
          <w:rFonts w:cs="Times New Roman"/>
          <w:szCs w:val="24"/>
        </w:rPr>
        <w:t>l</w:t>
      </w:r>
      <w:r w:rsidRPr="00E312ED">
        <w:rPr>
          <w:rFonts w:cs="Times New Roman"/>
          <w:szCs w:val="24"/>
        </w:rPr>
        <w:t xml:space="preserve">ey N° 7523, </w:t>
      </w:r>
      <w:r w:rsidRPr="00E312ED">
        <w:rPr>
          <w:rFonts w:cs="Times New Roman"/>
          <w:i/>
          <w:iCs/>
          <w:szCs w:val="24"/>
        </w:rPr>
        <w:t>Régimen Privado de Pensiones Complementarias</w:t>
      </w:r>
      <w:r w:rsidRPr="00E312ED">
        <w:rPr>
          <w:rFonts w:cs="Times New Roman"/>
          <w:szCs w:val="24"/>
        </w:rPr>
        <w:t>, corresponde al Superintendente de Pensiones adoptar todas las acciones necesarias para el cumplimiento efectivo de las funciones de autorización, regulación, supervisión y fiscalización establecidas en la ley y la normativa emitida por el Consejo Nacional de Supervisión del Sistema Financiero</w:t>
      </w:r>
      <w:r w:rsidR="004F4DDE">
        <w:rPr>
          <w:rFonts w:cs="Times New Roman"/>
          <w:szCs w:val="24"/>
        </w:rPr>
        <w:t>.</w:t>
      </w:r>
    </w:p>
    <w:p w14:paraId="235BE642" w14:textId="77777777" w:rsidR="00AC6495" w:rsidRPr="00E312ED" w:rsidRDefault="00AC6495" w:rsidP="00A9750B">
      <w:pPr>
        <w:pStyle w:val="Prrafodelista"/>
        <w:spacing w:line="240" w:lineRule="auto"/>
        <w:jc w:val="both"/>
        <w:rPr>
          <w:rFonts w:eastAsia="Times New Roman" w:cs="Times New Roman"/>
          <w:szCs w:val="24"/>
          <w:lang w:eastAsia="es-ES"/>
        </w:rPr>
      </w:pPr>
    </w:p>
    <w:p w14:paraId="179D2ED2" w14:textId="390F5964" w:rsidR="00D336F0" w:rsidRPr="00E312ED" w:rsidRDefault="00D336F0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eastAsia="Times New Roman" w:cs="Times New Roman"/>
          <w:szCs w:val="24"/>
          <w:lang w:eastAsia="es-ES"/>
        </w:rPr>
        <w:t xml:space="preserve">El Capítulo III de la </w:t>
      </w:r>
      <w:r w:rsidRPr="00E312ED">
        <w:rPr>
          <w:rFonts w:eastAsia="Times New Roman" w:cs="Times New Roman"/>
          <w:i/>
          <w:iCs/>
          <w:szCs w:val="24"/>
          <w:lang w:eastAsia="es-ES"/>
        </w:rPr>
        <w:t>Ley de Protección al Trabajador</w:t>
      </w:r>
      <w:r w:rsidRPr="00E312ED">
        <w:rPr>
          <w:rFonts w:eastAsia="Times New Roman" w:cs="Times New Roman"/>
          <w:szCs w:val="24"/>
          <w:lang w:eastAsia="es-ES"/>
        </w:rPr>
        <w:t xml:space="preserve"> establece las modalidades de pensión</w:t>
      </w:r>
      <w:r w:rsidR="004F4DDE">
        <w:rPr>
          <w:rFonts w:eastAsia="Times New Roman" w:cs="Times New Roman"/>
          <w:szCs w:val="24"/>
          <w:lang w:eastAsia="es-ES"/>
        </w:rPr>
        <w:t>, así como</w:t>
      </w:r>
      <w:r w:rsidRPr="00E312ED">
        <w:rPr>
          <w:rFonts w:eastAsia="Times New Roman" w:cs="Times New Roman"/>
          <w:szCs w:val="24"/>
          <w:lang w:eastAsia="es-ES"/>
        </w:rPr>
        <w:t xml:space="preserve"> las condiciones para que los afiliados puedan optar por la pensión complementaria.</w:t>
      </w:r>
    </w:p>
    <w:p w14:paraId="0419F4A7" w14:textId="77777777" w:rsidR="00AC6495" w:rsidRPr="00E312ED" w:rsidRDefault="00AC6495" w:rsidP="00A9750B">
      <w:pPr>
        <w:pStyle w:val="Prrafodelista"/>
        <w:spacing w:line="240" w:lineRule="auto"/>
        <w:rPr>
          <w:rFonts w:eastAsia="Times New Roman" w:cs="Times New Roman"/>
          <w:szCs w:val="24"/>
          <w:lang w:eastAsia="es-ES"/>
        </w:rPr>
      </w:pPr>
    </w:p>
    <w:p w14:paraId="72CB4D48" w14:textId="77777777" w:rsidR="00D336F0" w:rsidRPr="00E312ED" w:rsidRDefault="00D336F0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eastAsia="Times New Roman" w:cs="Times New Roman"/>
          <w:szCs w:val="24"/>
          <w:lang w:eastAsia="es-ES"/>
        </w:rPr>
        <w:t>El Consejo Nacional de Supervisión del Sistema Financiero</w:t>
      </w:r>
      <w:r w:rsidR="001C7469" w:rsidRPr="00E312ED">
        <w:rPr>
          <w:rFonts w:eastAsia="Times New Roman" w:cs="Times New Roman"/>
          <w:szCs w:val="24"/>
          <w:lang w:eastAsia="es-ES"/>
        </w:rPr>
        <w:t>,</w:t>
      </w:r>
      <w:r w:rsidRPr="00E312ED">
        <w:rPr>
          <w:rFonts w:eastAsia="Times New Roman" w:cs="Times New Roman"/>
          <w:szCs w:val="24"/>
          <w:lang w:eastAsia="es-ES"/>
        </w:rPr>
        <w:t xml:space="preserve"> en </w:t>
      </w:r>
      <w:r w:rsidR="001C7469" w:rsidRPr="00E312ED">
        <w:rPr>
          <w:rFonts w:eastAsia="Times New Roman" w:cs="Times New Roman"/>
          <w:szCs w:val="24"/>
          <w:lang w:eastAsia="es-ES"/>
        </w:rPr>
        <w:t xml:space="preserve">la </w:t>
      </w:r>
      <w:r w:rsidRPr="00E312ED">
        <w:rPr>
          <w:rFonts w:eastAsia="Times New Roman" w:cs="Times New Roman"/>
          <w:szCs w:val="24"/>
          <w:lang w:eastAsia="es-ES"/>
        </w:rPr>
        <w:t>sesión 842-2010 celebrada el 26 de marzo del 2010,</w:t>
      </w:r>
      <w:r w:rsidR="00F104A1" w:rsidRPr="00E312ED">
        <w:rPr>
          <w:rFonts w:cs="Times New Roman"/>
          <w:szCs w:val="24"/>
        </w:rPr>
        <w:t xml:space="preserve"> </w:t>
      </w:r>
      <w:r w:rsidR="00F104A1" w:rsidRPr="00E312ED">
        <w:rPr>
          <w:rFonts w:eastAsia="Times New Roman" w:cs="Times New Roman"/>
          <w:szCs w:val="24"/>
          <w:lang w:eastAsia="es-ES"/>
        </w:rPr>
        <w:t>publicado en el Diario Oficial La Gaceta No. 73 del 16 de abril de ese mismo año,</w:t>
      </w:r>
      <w:r w:rsidRPr="00E312ED">
        <w:rPr>
          <w:rFonts w:eastAsia="Times New Roman" w:cs="Times New Roman"/>
          <w:szCs w:val="24"/>
          <w:lang w:eastAsia="es-ES"/>
        </w:rPr>
        <w:t xml:space="preserve"> aprobó el </w:t>
      </w:r>
      <w:r w:rsidRPr="00E312ED">
        <w:rPr>
          <w:rFonts w:eastAsia="Times New Roman" w:cs="Times New Roman"/>
          <w:i/>
          <w:iCs/>
          <w:szCs w:val="24"/>
          <w:lang w:eastAsia="es-ES"/>
        </w:rPr>
        <w:t>Reglamento de Beneficios del Régimen de Capitalización Individual</w:t>
      </w:r>
      <w:r w:rsidR="008D0EF8" w:rsidRPr="00E312ED">
        <w:rPr>
          <w:rFonts w:eastAsia="Times New Roman" w:cs="Times New Roman"/>
          <w:szCs w:val="24"/>
          <w:lang w:eastAsia="es-ES"/>
        </w:rPr>
        <w:t>.</w:t>
      </w:r>
    </w:p>
    <w:p w14:paraId="7C60C035" w14:textId="77777777" w:rsidR="00AC6495" w:rsidRPr="00E312ED" w:rsidRDefault="00AC6495" w:rsidP="00A9750B">
      <w:pPr>
        <w:pStyle w:val="Prrafodelista"/>
        <w:spacing w:line="240" w:lineRule="auto"/>
        <w:rPr>
          <w:rFonts w:eastAsia="Times New Roman" w:cs="Times New Roman"/>
          <w:szCs w:val="24"/>
          <w:lang w:eastAsia="es-ES"/>
        </w:rPr>
      </w:pPr>
    </w:p>
    <w:p w14:paraId="26BAB79A" w14:textId="2D870B40" w:rsidR="00C50E48" w:rsidRPr="00E312ED" w:rsidRDefault="00D336F0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eastAsia="Times New Roman" w:cs="Times New Roman"/>
          <w:szCs w:val="24"/>
          <w:lang w:eastAsia="es-ES"/>
        </w:rPr>
        <w:t>En virtud de lo anterior</w:t>
      </w:r>
      <w:r w:rsidR="00F8651C">
        <w:rPr>
          <w:rFonts w:eastAsia="Times New Roman" w:cs="Times New Roman"/>
          <w:szCs w:val="24"/>
          <w:lang w:eastAsia="es-ES"/>
        </w:rPr>
        <w:t>,</w:t>
      </w:r>
      <w:r w:rsidRPr="00E312ED">
        <w:rPr>
          <w:rFonts w:eastAsia="Times New Roman" w:cs="Times New Roman"/>
          <w:szCs w:val="24"/>
          <w:lang w:eastAsia="es-ES"/>
        </w:rPr>
        <w:t xml:space="preserve"> mediante </w:t>
      </w:r>
      <w:r w:rsidR="000F0254" w:rsidRPr="00E312ED">
        <w:rPr>
          <w:rFonts w:eastAsia="Times New Roman" w:cs="Times New Roman"/>
          <w:szCs w:val="24"/>
          <w:lang w:eastAsia="es-ES"/>
        </w:rPr>
        <w:t xml:space="preserve">el </w:t>
      </w:r>
      <w:r w:rsidRPr="00E312ED">
        <w:rPr>
          <w:rFonts w:eastAsia="Times New Roman" w:cs="Times New Roman"/>
          <w:szCs w:val="24"/>
          <w:lang w:eastAsia="es-ES"/>
        </w:rPr>
        <w:t xml:space="preserve">acuerdo </w:t>
      </w:r>
      <w:r w:rsidRPr="00E312ED">
        <w:rPr>
          <w:rFonts w:eastAsia="Times New Roman" w:cs="Times New Roman"/>
          <w:i/>
          <w:iCs/>
          <w:szCs w:val="24"/>
          <w:lang w:eastAsia="es-ES"/>
        </w:rPr>
        <w:t>SP-A-141-2010, de las once horas del treinta de abril de 2010,</w:t>
      </w:r>
      <w:r w:rsidRPr="00E312ED">
        <w:rPr>
          <w:rFonts w:eastAsia="Times New Roman" w:cs="Times New Roman"/>
          <w:szCs w:val="24"/>
          <w:lang w:eastAsia="es-ES"/>
        </w:rPr>
        <w:t xml:space="preserve"> se </w:t>
      </w:r>
      <w:r w:rsidR="00451FBE">
        <w:rPr>
          <w:rFonts w:eastAsia="Times New Roman" w:cs="Times New Roman"/>
          <w:szCs w:val="24"/>
          <w:lang w:eastAsia="es-ES"/>
        </w:rPr>
        <w:t>d</w:t>
      </w:r>
      <w:r w:rsidR="005E2218">
        <w:rPr>
          <w:rFonts w:eastAsia="Times New Roman" w:cs="Times New Roman"/>
          <w:szCs w:val="24"/>
          <w:lang w:eastAsia="es-ES"/>
        </w:rPr>
        <w:t>i</w:t>
      </w:r>
      <w:r w:rsidR="00451FBE">
        <w:rPr>
          <w:rFonts w:eastAsia="Times New Roman" w:cs="Times New Roman"/>
          <w:szCs w:val="24"/>
          <w:lang w:eastAsia="es-ES"/>
        </w:rPr>
        <w:t>ctaron</w:t>
      </w:r>
      <w:r w:rsidRPr="00E312ED">
        <w:rPr>
          <w:rFonts w:eastAsia="Times New Roman" w:cs="Times New Roman"/>
          <w:szCs w:val="24"/>
          <w:lang w:eastAsia="es-ES"/>
        </w:rPr>
        <w:t xml:space="preserve"> las </w:t>
      </w:r>
      <w:r w:rsidR="00E3145F" w:rsidRPr="00E312ED">
        <w:rPr>
          <w:rFonts w:eastAsia="Times New Roman" w:cs="Times New Roman"/>
          <w:szCs w:val="24"/>
          <w:lang w:eastAsia="es-ES"/>
        </w:rPr>
        <w:t>d</w:t>
      </w:r>
      <w:r w:rsidRPr="00E312ED">
        <w:rPr>
          <w:rFonts w:eastAsia="Times New Roman" w:cs="Times New Roman"/>
          <w:szCs w:val="24"/>
          <w:lang w:eastAsia="es-ES"/>
        </w:rPr>
        <w:t xml:space="preserve">isposiciones relativas a las modalidades de pensión para el </w:t>
      </w:r>
      <w:r w:rsidR="002E0D1A" w:rsidRPr="00E312ED">
        <w:rPr>
          <w:rFonts w:eastAsia="Times New Roman" w:cs="Times New Roman"/>
          <w:szCs w:val="24"/>
          <w:lang w:eastAsia="es-ES"/>
        </w:rPr>
        <w:t>R</w:t>
      </w:r>
      <w:r w:rsidRPr="00E312ED">
        <w:rPr>
          <w:rFonts w:eastAsia="Times New Roman" w:cs="Times New Roman"/>
          <w:szCs w:val="24"/>
          <w:lang w:eastAsia="es-ES"/>
        </w:rPr>
        <w:t xml:space="preserve">égimen </w:t>
      </w:r>
      <w:r w:rsidR="000F0254" w:rsidRPr="00E312ED">
        <w:rPr>
          <w:rFonts w:eastAsia="Times New Roman" w:cs="Times New Roman"/>
          <w:szCs w:val="24"/>
          <w:lang w:eastAsia="es-ES"/>
        </w:rPr>
        <w:t>C</w:t>
      </w:r>
      <w:r w:rsidRPr="00E312ED">
        <w:rPr>
          <w:rFonts w:eastAsia="Times New Roman" w:cs="Times New Roman"/>
          <w:szCs w:val="24"/>
          <w:lang w:eastAsia="es-ES"/>
        </w:rPr>
        <w:t xml:space="preserve">omplementario de </w:t>
      </w:r>
      <w:r w:rsidR="002E0D1A" w:rsidRPr="00E312ED">
        <w:rPr>
          <w:rFonts w:eastAsia="Times New Roman" w:cs="Times New Roman"/>
          <w:szCs w:val="24"/>
          <w:lang w:eastAsia="es-ES"/>
        </w:rPr>
        <w:t>P</w:t>
      </w:r>
      <w:r w:rsidRPr="00E312ED">
        <w:rPr>
          <w:rFonts w:eastAsia="Times New Roman" w:cs="Times New Roman"/>
          <w:szCs w:val="24"/>
          <w:lang w:eastAsia="es-ES"/>
        </w:rPr>
        <w:t xml:space="preserve">ensiones de </w:t>
      </w:r>
      <w:r w:rsidR="000F0254" w:rsidRPr="00E312ED">
        <w:rPr>
          <w:rFonts w:eastAsia="Times New Roman" w:cs="Times New Roman"/>
          <w:szCs w:val="24"/>
          <w:lang w:eastAsia="es-ES"/>
        </w:rPr>
        <w:t>C</w:t>
      </w:r>
      <w:r w:rsidRPr="00E312ED">
        <w:rPr>
          <w:rFonts w:eastAsia="Times New Roman" w:cs="Times New Roman"/>
          <w:szCs w:val="24"/>
          <w:lang w:eastAsia="es-ES"/>
        </w:rPr>
        <w:t xml:space="preserve">apitalización </w:t>
      </w:r>
      <w:r w:rsidR="000F0254" w:rsidRPr="00E312ED">
        <w:rPr>
          <w:rFonts w:eastAsia="Times New Roman" w:cs="Times New Roman"/>
          <w:szCs w:val="24"/>
          <w:lang w:eastAsia="es-ES"/>
        </w:rPr>
        <w:t>I</w:t>
      </w:r>
      <w:r w:rsidRPr="00E312ED">
        <w:rPr>
          <w:rFonts w:eastAsia="Times New Roman" w:cs="Times New Roman"/>
          <w:szCs w:val="24"/>
          <w:lang w:eastAsia="es-ES"/>
        </w:rPr>
        <w:t>ndividual</w:t>
      </w:r>
      <w:r w:rsidR="00E3145F" w:rsidRPr="00E312ED">
        <w:rPr>
          <w:rFonts w:eastAsia="Times New Roman" w:cs="Times New Roman"/>
          <w:szCs w:val="24"/>
          <w:lang w:eastAsia="es-ES"/>
        </w:rPr>
        <w:t>, a efecto de establecer entre otros, los lineamientos de cálculo de las distintas modalidades de pensión que administrará una operadora de pensiones</w:t>
      </w:r>
      <w:r w:rsidR="008D0EF8" w:rsidRPr="00E312ED">
        <w:rPr>
          <w:rFonts w:eastAsia="Times New Roman" w:cs="Times New Roman"/>
          <w:szCs w:val="24"/>
          <w:lang w:eastAsia="es-ES"/>
        </w:rPr>
        <w:t>,</w:t>
      </w:r>
      <w:r w:rsidR="00E3145F" w:rsidRPr="00E312ED">
        <w:rPr>
          <w:rFonts w:eastAsia="Times New Roman" w:cs="Times New Roman"/>
          <w:szCs w:val="24"/>
          <w:lang w:eastAsia="es-ES"/>
        </w:rPr>
        <w:t xml:space="preserve"> a fin de que los pensionados cuenten con tratamientos uniformes </w:t>
      </w:r>
      <w:r w:rsidR="005E2218">
        <w:rPr>
          <w:rFonts w:eastAsia="Times New Roman" w:cs="Times New Roman"/>
          <w:szCs w:val="24"/>
          <w:lang w:eastAsia="es-ES"/>
        </w:rPr>
        <w:t xml:space="preserve">para el cálculo </w:t>
      </w:r>
      <w:r w:rsidR="00E3145F" w:rsidRPr="00E312ED">
        <w:rPr>
          <w:rFonts w:eastAsia="Times New Roman" w:cs="Times New Roman"/>
          <w:szCs w:val="24"/>
          <w:lang w:eastAsia="es-ES"/>
        </w:rPr>
        <w:t>de la</w:t>
      </w:r>
      <w:r w:rsidR="003570BB" w:rsidRPr="00E312ED">
        <w:rPr>
          <w:rFonts w:eastAsia="Times New Roman" w:cs="Times New Roman"/>
          <w:szCs w:val="24"/>
          <w:lang w:eastAsia="es-ES"/>
        </w:rPr>
        <w:t>s</w:t>
      </w:r>
      <w:r w:rsidR="00E3145F" w:rsidRPr="00E312ED">
        <w:rPr>
          <w:rFonts w:eastAsia="Times New Roman" w:cs="Times New Roman"/>
          <w:szCs w:val="24"/>
          <w:lang w:eastAsia="es-ES"/>
        </w:rPr>
        <w:t xml:space="preserve"> renta</w:t>
      </w:r>
      <w:r w:rsidR="003570BB" w:rsidRPr="00E312ED">
        <w:rPr>
          <w:rFonts w:eastAsia="Times New Roman" w:cs="Times New Roman"/>
          <w:szCs w:val="24"/>
          <w:lang w:eastAsia="es-ES"/>
        </w:rPr>
        <w:t>s</w:t>
      </w:r>
      <w:r w:rsidR="00E3145F" w:rsidRPr="00E312ED">
        <w:rPr>
          <w:rFonts w:eastAsia="Times New Roman" w:cs="Times New Roman"/>
          <w:szCs w:val="24"/>
          <w:lang w:eastAsia="es-ES"/>
        </w:rPr>
        <w:t xml:space="preserve"> periódica</w:t>
      </w:r>
      <w:r w:rsidR="003570BB" w:rsidRPr="00E312ED">
        <w:rPr>
          <w:rFonts w:eastAsia="Times New Roman" w:cs="Times New Roman"/>
          <w:szCs w:val="24"/>
          <w:lang w:eastAsia="es-ES"/>
        </w:rPr>
        <w:t>s.</w:t>
      </w:r>
    </w:p>
    <w:p w14:paraId="64225CA5" w14:textId="77777777" w:rsidR="00AC6495" w:rsidRPr="00E312ED" w:rsidRDefault="00AC6495" w:rsidP="00A9750B">
      <w:pPr>
        <w:pStyle w:val="Prrafodelista"/>
        <w:spacing w:line="240" w:lineRule="auto"/>
        <w:rPr>
          <w:rFonts w:eastAsia="Times New Roman" w:cs="Times New Roman"/>
          <w:szCs w:val="24"/>
          <w:lang w:eastAsia="es-ES"/>
        </w:rPr>
      </w:pPr>
    </w:p>
    <w:p w14:paraId="15490DA5" w14:textId="2EBA9F6E" w:rsidR="00F104A1" w:rsidRPr="00E312ED" w:rsidRDefault="00F104A1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E312ED">
        <w:rPr>
          <w:rFonts w:cs="Times New Roman"/>
          <w:szCs w:val="24"/>
        </w:rPr>
        <w:lastRenderedPageBreak/>
        <w:t xml:space="preserve">El artículo 22 inciso c) de la </w:t>
      </w:r>
      <w:r w:rsidRPr="00E312ED">
        <w:rPr>
          <w:rFonts w:cs="Times New Roman"/>
          <w:i/>
          <w:iCs/>
          <w:szCs w:val="24"/>
        </w:rPr>
        <w:t>Ley de Protección al Trabajador</w:t>
      </w:r>
      <w:r w:rsidR="00DE7190">
        <w:rPr>
          <w:rFonts w:cs="Times New Roman"/>
          <w:szCs w:val="24"/>
        </w:rPr>
        <w:t>,</w:t>
      </w:r>
      <w:r w:rsidRPr="00E312ED">
        <w:rPr>
          <w:rFonts w:cs="Times New Roman"/>
          <w:szCs w:val="24"/>
        </w:rPr>
        <w:t xml:space="preserve"> establece como una de las modalidades de pensión que el afiliado al Régimen Obligatorio de Pensiones Complementarias puede seleccionar para el disfrute de los beneficios que otorga este régimen, la </w:t>
      </w:r>
      <w:r w:rsidRPr="00E312ED">
        <w:rPr>
          <w:rFonts w:cs="Times New Roman"/>
          <w:i/>
          <w:iCs/>
          <w:szCs w:val="24"/>
        </w:rPr>
        <w:t>Renta Permanente.</w:t>
      </w:r>
    </w:p>
    <w:p w14:paraId="2E9D3567" w14:textId="77777777" w:rsidR="00AC6495" w:rsidRPr="00E312ED" w:rsidRDefault="00AC6495" w:rsidP="00A9750B">
      <w:pPr>
        <w:pStyle w:val="Prrafodelista"/>
        <w:spacing w:line="240" w:lineRule="auto"/>
        <w:rPr>
          <w:rFonts w:eastAsia="Times New Roman" w:cs="Times New Roman"/>
          <w:szCs w:val="24"/>
          <w:lang w:eastAsia="es-ES"/>
        </w:rPr>
      </w:pPr>
    </w:p>
    <w:p w14:paraId="60168EAD" w14:textId="612CE431" w:rsidR="00AC6495" w:rsidRPr="00E312ED" w:rsidRDefault="008105E4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8105E4">
        <w:rPr>
          <w:rFonts w:cs="Times New Roman"/>
          <w:szCs w:val="24"/>
        </w:rPr>
        <w:t>El Consejo Nacional de Supervisión del Sistema Financiero, en el artículo 9 del acta de la sesión 1750-2022, celebrada el 22 de agosto del 2022</w:t>
      </w:r>
      <w:r w:rsidR="0076689E" w:rsidRPr="00E312ED">
        <w:rPr>
          <w:rFonts w:cs="Times New Roman"/>
          <w:szCs w:val="24"/>
        </w:rPr>
        <w:t xml:space="preserve">, publicado en el </w:t>
      </w:r>
      <w:r w:rsidR="00BC7177">
        <w:rPr>
          <w:rFonts w:cs="Times New Roman"/>
          <w:szCs w:val="24"/>
        </w:rPr>
        <w:t>d</w:t>
      </w:r>
      <w:r w:rsidR="0076689E" w:rsidRPr="00E312ED">
        <w:rPr>
          <w:rFonts w:cs="Times New Roman"/>
          <w:szCs w:val="24"/>
        </w:rPr>
        <w:t xml:space="preserve">iario </w:t>
      </w:r>
      <w:r w:rsidR="00BC7177">
        <w:rPr>
          <w:rFonts w:cs="Times New Roman"/>
          <w:szCs w:val="24"/>
        </w:rPr>
        <w:t>o</w:t>
      </w:r>
      <w:r w:rsidR="0076689E" w:rsidRPr="00E312ED">
        <w:rPr>
          <w:rFonts w:cs="Times New Roman"/>
          <w:szCs w:val="24"/>
        </w:rPr>
        <w:t xml:space="preserve">ficial </w:t>
      </w:r>
      <w:r w:rsidR="00BC7177">
        <w:rPr>
          <w:rFonts w:cs="Times New Roman"/>
          <w:szCs w:val="24"/>
        </w:rPr>
        <w:t xml:space="preserve">La </w:t>
      </w:r>
      <w:r w:rsidR="00BC7177" w:rsidRPr="00926066">
        <w:rPr>
          <w:rFonts w:cs="Times New Roman"/>
          <w:szCs w:val="24"/>
        </w:rPr>
        <w:t xml:space="preserve">Gaceta </w:t>
      </w:r>
      <w:r w:rsidR="00D558E2">
        <w:rPr>
          <w:rFonts w:cs="Times New Roman"/>
          <w:szCs w:val="24"/>
        </w:rPr>
        <w:t xml:space="preserve">No. </w:t>
      </w:r>
      <w:r w:rsidR="00211F3B" w:rsidRPr="00926066">
        <w:rPr>
          <w:rFonts w:cs="Times New Roman"/>
          <w:szCs w:val="24"/>
        </w:rPr>
        <w:t>166</w:t>
      </w:r>
      <w:r w:rsidR="000070F5" w:rsidRPr="00926066">
        <w:rPr>
          <w:rFonts w:cs="Times New Roman"/>
          <w:szCs w:val="24"/>
        </w:rPr>
        <w:t xml:space="preserve"> del </w:t>
      </w:r>
      <w:r w:rsidR="00926066" w:rsidRPr="00926066">
        <w:rPr>
          <w:rFonts w:cs="Times New Roman"/>
          <w:szCs w:val="24"/>
        </w:rPr>
        <w:t>1° de setiembre</w:t>
      </w:r>
      <w:r w:rsidR="000070F5" w:rsidRPr="00926066">
        <w:rPr>
          <w:rFonts w:cs="Times New Roman"/>
          <w:szCs w:val="24"/>
        </w:rPr>
        <w:t xml:space="preserve"> de 2022, aprobó</w:t>
      </w:r>
      <w:r w:rsidR="000070F5" w:rsidRPr="00E312ED">
        <w:rPr>
          <w:rFonts w:cs="Times New Roman"/>
          <w:szCs w:val="24"/>
        </w:rPr>
        <w:t xml:space="preserve"> la reforma de</w:t>
      </w:r>
      <w:r w:rsidR="00DC2CD7" w:rsidRPr="00E312ED">
        <w:rPr>
          <w:rFonts w:cs="Times New Roman"/>
          <w:szCs w:val="24"/>
        </w:rPr>
        <w:t xml:space="preserve"> </w:t>
      </w:r>
      <w:r w:rsidR="000070F5" w:rsidRPr="00E312ED">
        <w:rPr>
          <w:rFonts w:cs="Times New Roman"/>
          <w:szCs w:val="24"/>
        </w:rPr>
        <w:t>l</w:t>
      </w:r>
      <w:r w:rsidR="00DC2CD7" w:rsidRPr="00E312ED">
        <w:rPr>
          <w:rFonts w:cs="Times New Roman"/>
          <w:szCs w:val="24"/>
        </w:rPr>
        <w:t>os</w:t>
      </w:r>
      <w:r w:rsidR="000070F5" w:rsidRPr="00E312ED">
        <w:rPr>
          <w:rFonts w:cs="Times New Roman"/>
          <w:szCs w:val="24"/>
        </w:rPr>
        <w:t xml:space="preserve"> artículo</w:t>
      </w:r>
      <w:r w:rsidR="00DC2CD7" w:rsidRPr="00E312ED">
        <w:rPr>
          <w:rFonts w:cs="Times New Roman"/>
          <w:szCs w:val="24"/>
        </w:rPr>
        <w:t>s 2,</w:t>
      </w:r>
      <w:r w:rsidR="000070F5" w:rsidRPr="00E312ED">
        <w:rPr>
          <w:rFonts w:cs="Times New Roman"/>
          <w:szCs w:val="24"/>
        </w:rPr>
        <w:t xml:space="preserve"> 9</w:t>
      </w:r>
      <w:r w:rsidR="00DC2CD7" w:rsidRPr="00E312ED">
        <w:rPr>
          <w:rFonts w:cs="Times New Roman"/>
          <w:szCs w:val="24"/>
        </w:rPr>
        <w:t>, 22, 35</w:t>
      </w:r>
      <w:r w:rsidR="00304532">
        <w:rPr>
          <w:rFonts w:cs="Times New Roman"/>
          <w:szCs w:val="24"/>
        </w:rPr>
        <w:t xml:space="preserve"> y 47</w:t>
      </w:r>
      <w:r w:rsidR="000070F5" w:rsidRPr="00E312ED">
        <w:rPr>
          <w:rFonts w:cs="Times New Roman"/>
          <w:szCs w:val="24"/>
        </w:rPr>
        <w:t xml:space="preserve"> del citado </w:t>
      </w:r>
      <w:r w:rsidR="00B859A2" w:rsidRPr="00E312ED">
        <w:rPr>
          <w:rFonts w:eastAsia="Calibri" w:cs="Times New Roman"/>
          <w:i/>
          <w:iCs/>
          <w:szCs w:val="24"/>
        </w:rPr>
        <w:t>Reglamento de beneficios del Régimen de capitalización individual</w:t>
      </w:r>
      <w:r w:rsidR="0061092B" w:rsidRPr="00E312ED">
        <w:rPr>
          <w:rFonts w:cs="Times New Roman"/>
          <w:szCs w:val="24"/>
        </w:rPr>
        <w:t xml:space="preserve">, así como la derogatoria de </w:t>
      </w:r>
      <w:r w:rsidR="00DC2CD7" w:rsidRPr="00E312ED">
        <w:rPr>
          <w:rFonts w:cs="Times New Roman"/>
          <w:szCs w:val="24"/>
        </w:rPr>
        <w:t xml:space="preserve">sus </w:t>
      </w:r>
      <w:r w:rsidR="0061092B" w:rsidRPr="00E312ED">
        <w:rPr>
          <w:rFonts w:cs="Times New Roman"/>
          <w:szCs w:val="24"/>
        </w:rPr>
        <w:t>artículos 32 y 34</w:t>
      </w:r>
      <w:r w:rsidR="00DC2CD7" w:rsidRPr="00E312ED">
        <w:rPr>
          <w:rFonts w:cs="Times New Roman"/>
          <w:szCs w:val="24"/>
        </w:rPr>
        <w:t>.</w:t>
      </w:r>
    </w:p>
    <w:p w14:paraId="5C6C7004" w14:textId="77777777" w:rsidR="00AC6495" w:rsidRPr="00E312ED" w:rsidRDefault="00AC6495" w:rsidP="00A9750B">
      <w:pPr>
        <w:pStyle w:val="Prrafodelista"/>
        <w:spacing w:line="240" w:lineRule="auto"/>
        <w:rPr>
          <w:rFonts w:cs="Times New Roman"/>
          <w:szCs w:val="24"/>
        </w:rPr>
      </w:pPr>
    </w:p>
    <w:p w14:paraId="47123C3E" w14:textId="2330B48E" w:rsidR="00AC6495" w:rsidRPr="00E312ED" w:rsidRDefault="00960A28" w:rsidP="00A9750B">
      <w:pPr>
        <w:pStyle w:val="Prrafodelista"/>
        <w:spacing w:line="240" w:lineRule="auto"/>
        <w:jc w:val="both"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La ref</w:t>
      </w:r>
      <w:r w:rsidR="00DF5486" w:rsidRPr="00E312ED">
        <w:rPr>
          <w:rFonts w:cs="Times New Roman"/>
          <w:szCs w:val="24"/>
        </w:rPr>
        <w:t>orma</w:t>
      </w:r>
      <w:r w:rsidR="002C2D6C" w:rsidRPr="00E312ED">
        <w:rPr>
          <w:rFonts w:cs="Times New Roman"/>
          <w:szCs w:val="24"/>
        </w:rPr>
        <w:t xml:space="preserve"> </w:t>
      </w:r>
      <w:r w:rsidR="00CA022E">
        <w:rPr>
          <w:rFonts w:cs="Times New Roman"/>
          <w:szCs w:val="24"/>
        </w:rPr>
        <w:t xml:space="preserve">al </w:t>
      </w:r>
      <w:r w:rsidR="002C2D6C" w:rsidRPr="00E312ED">
        <w:rPr>
          <w:rFonts w:cs="Times New Roman"/>
          <w:szCs w:val="24"/>
        </w:rPr>
        <w:t xml:space="preserve">artículo 9 </w:t>
      </w:r>
      <w:r w:rsidR="003570BB" w:rsidRPr="00E312ED">
        <w:rPr>
          <w:rFonts w:cs="Times New Roman"/>
          <w:szCs w:val="24"/>
        </w:rPr>
        <w:t xml:space="preserve">establece </w:t>
      </w:r>
      <w:r w:rsidR="00A80469">
        <w:rPr>
          <w:rFonts w:cs="Times New Roman"/>
          <w:szCs w:val="24"/>
        </w:rPr>
        <w:t xml:space="preserve">un </w:t>
      </w:r>
      <w:r w:rsidR="003570BB" w:rsidRPr="00E312ED">
        <w:rPr>
          <w:rFonts w:cs="Times New Roman"/>
          <w:szCs w:val="24"/>
        </w:rPr>
        <w:t xml:space="preserve">período </w:t>
      </w:r>
      <w:r w:rsidR="0010390B" w:rsidRPr="00E312ED">
        <w:rPr>
          <w:rFonts w:cs="Times New Roman"/>
          <w:szCs w:val="24"/>
        </w:rPr>
        <w:t xml:space="preserve">de rendimientos </w:t>
      </w:r>
      <w:r w:rsidR="00A80469">
        <w:rPr>
          <w:rFonts w:cs="Times New Roman"/>
          <w:szCs w:val="24"/>
        </w:rPr>
        <w:t>de tres años que deben ser considerados</w:t>
      </w:r>
      <w:r w:rsidR="003570BB" w:rsidRPr="00E312ED">
        <w:rPr>
          <w:rFonts w:cs="Times New Roman"/>
          <w:szCs w:val="24"/>
        </w:rPr>
        <w:t xml:space="preserve"> para la determinación del monto a pagar por concepto de pensión, con recálculos cada tres años también, con el objetivo de que</w:t>
      </w:r>
      <w:r w:rsidR="00777B01" w:rsidRPr="00E312ED">
        <w:rPr>
          <w:rFonts w:cs="Times New Roman"/>
          <w:szCs w:val="24"/>
        </w:rPr>
        <w:t xml:space="preserve"> las pensiones de las </w:t>
      </w:r>
      <w:r w:rsidR="00777B01" w:rsidRPr="00E312ED">
        <w:rPr>
          <w:rFonts w:cs="Times New Roman"/>
          <w:i/>
          <w:iCs/>
          <w:szCs w:val="24"/>
        </w:rPr>
        <w:t>Rentas Permanentes</w:t>
      </w:r>
      <w:r w:rsidR="00777B01" w:rsidRPr="00E312ED">
        <w:rPr>
          <w:rFonts w:cs="Times New Roman"/>
          <w:szCs w:val="24"/>
        </w:rPr>
        <w:t xml:space="preserve"> </w:t>
      </w:r>
      <w:r w:rsidR="00602B4B">
        <w:rPr>
          <w:rFonts w:cs="Times New Roman"/>
          <w:szCs w:val="24"/>
        </w:rPr>
        <w:t>tengan una menor afectación ante</w:t>
      </w:r>
      <w:r w:rsidR="00777B01" w:rsidRPr="00E312ED">
        <w:rPr>
          <w:rFonts w:cs="Times New Roman"/>
          <w:szCs w:val="24"/>
        </w:rPr>
        <w:t xml:space="preserve"> volatilidades de corto plazo</w:t>
      </w:r>
      <w:r w:rsidR="00481DD5">
        <w:rPr>
          <w:rFonts w:cs="Times New Roman"/>
          <w:szCs w:val="24"/>
        </w:rPr>
        <w:t>.</w:t>
      </w:r>
    </w:p>
    <w:p w14:paraId="219DFADB" w14:textId="77777777" w:rsidR="00AC6495" w:rsidRPr="00E312ED" w:rsidRDefault="00AC6495" w:rsidP="00A9750B">
      <w:pPr>
        <w:pStyle w:val="Prrafodelista"/>
        <w:spacing w:line="240" w:lineRule="auto"/>
        <w:jc w:val="both"/>
        <w:rPr>
          <w:rFonts w:cs="Times New Roman"/>
          <w:szCs w:val="24"/>
        </w:rPr>
      </w:pPr>
    </w:p>
    <w:p w14:paraId="44AD5F5A" w14:textId="5263AD5B" w:rsidR="00AC6495" w:rsidRPr="00481DD5" w:rsidRDefault="00421774" w:rsidP="00A9750B">
      <w:pPr>
        <w:pStyle w:val="Prrafodelista"/>
        <w:numPr>
          <w:ilvl w:val="0"/>
          <w:numId w:val="10"/>
        </w:numPr>
        <w:spacing w:line="240" w:lineRule="auto"/>
        <w:jc w:val="both"/>
        <w:rPr>
          <w:rFonts w:eastAsia="Times New Roman" w:cs="Times New Roman"/>
          <w:szCs w:val="24"/>
          <w:lang w:eastAsia="es-ES"/>
        </w:rPr>
      </w:pPr>
      <w:r w:rsidRPr="00481DD5">
        <w:rPr>
          <w:rFonts w:cs="Times New Roman"/>
          <w:szCs w:val="24"/>
        </w:rPr>
        <w:t>Por su parte</w:t>
      </w:r>
      <w:r w:rsidR="00D06206">
        <w:rPr>
          <w:rFonts w:cs="Times New Roman"/>
          <w:szCs w:val="24"/>
        </w:rPr>
        <w:t>,</w:t>
      </w:r>
      <w:r w:rsidRPr="00481DD5">
        <w:rPr>
          <w:rFonts w:cs="Times New Roman"/>
          <w:szCs w:val="24"/>
        </w:rPr>
        <w:t xml:space="preserve"> las </w:t>
      </w:r>
      <w:r w:rsidR="00335677" w:rsidRPr="00481DD5">
        <w:rPr>
          <w:rFonts w:cs="Times New Roman"/>
          <w:szCs w:val="24"/>
        </w:rPr>
        <w:t>derogatorias de</w:t>
      </w:r>
      <w:r w:rsidR="00067BA9" w:rsidRPr="00481DD5">
        <w:rPr>
          <w:rFonts w:cs="Times New Roman"/>
          <w:szCs w:val="24"/>
        </w:rPr>
        <w:t xml:space="preserve"> los artículos 32 y 34</w:t>
      </w:r>
      <w:r w:rsidR="008C0C1F" w:rsidRPr="00481DD5">
        <w:rPr>
          <w:rFonts w:cs="Times New Roman"/>
          <w:szCs w:val="24"/>
        </w:rPr>
        <w:t>, así como la reforma a</w:t>
      </w:r>
      <w:r w:rsidR="00C5275A">
        <w:rPr>
          <w:rFonts w:cs="Times New Roman"/>
          <w:szCs w:val="24"/>
        </w:rPr>
        <w:t>l</w:t>
      </w:r>
      <w:r w:rsidR="008C0C1F" w:rsidRPr="00481DD5">
        <w:rPr>
          <w:rFonts w:cs="Times New Roman"/>
          <w:szCs w:val="24"/>
        </w:rPr>
        <w:t xml:space="preserve"> artículo 2</w:t>
      </w:r>
      <w:r w:rsidR="001C7469" w:rsidRPr="00481DD5">
        <w:rPr>
          <w:rFonts w:cs="Times New Roman"/>
          <w:szCs w:val="24"/>
        </w:rPr>
        <w:t>,</w:t>
      </w:r>
      <w:r w:rsidR="00067BA9" w:rsidRPr="00481DD5">
        <w:rPr>
          <w:rFonts w:cs="Times New Roman"/>
          <w:szCs w:val="24"/>
        </w:rPr>
        <w:t xml:space="preserve"> </w:t>
      </w:r>
      <w:r w:rsidR="001C7469" w:rsidRPr="00481DD5">
        <w:rPr>
          <w:rFonts w:cs="Times New Roman"/>
          <w:szCs w:val="24"/>
        </w:rPr>
        <w:t xml:space="preserve">eliminaron la oferta obligatoria de productos de beneficio al afiliado </w:t>
      </w:r>
      <w:r w:rsidR="008D0EF8" w:rsidRPr="00481DD5">
        <w:rPr>
          <w:rFonts w:cs="Times New Roman"/>
          <w:szCs w:val="24"/>
        </w:rPr>
        <w:t xml:space="preserve">por parte </w:t>
      </w:r>
      <w:r w:rsidR="001C7469" w:rsidRPr="00481DD5">
        <w:rPr>
          <w:rFonts w:cs="Times New Roman"/>
          <w:szCs w:val="24"/>
        </w:rPr>
        <w:t>de los distintos posibles oferentes en el mercado, una vez este opte por el disfrute de los beneficios del pilar complementario obligatorio.</w:t>
      </w:r>
      <w:r w:rsidR="00775B6A">
        <w:rPr>
          <w:rFonts w:cs="Times New Roman"/>
          <w:szCs w:val="24"/>
        </w:rPr>
        <w:t xml:space="preserve"> Dado lo anterior, se requiere derogar </w:t>
      </w:r>
      <w:r w:rsidR="00775B6A" w:rsidRPr="00775B6A">
        <w:rPr>
          <w:rFonts w:cs="Times New Roman"/>
          <w:szCs w:val="24"/>
        </w:rPr>
        <w:t xml:space="preserve">el </w:t>
      </w:r>
      <w:r w:rsidR="00775B6A" w:rsidRPr="00077846">
        <w:rPr>
          <w:rFonts w:cs="Times New Roman"/>
          <w:i/>
          <w:iCs/>
          <w:szCs w:val="24"/>
        </w:rPr>
        <w:t>Capítulo V. Elección de la modalidad de pensión</w:t>
      </w:r>
      <w:r w:rsidR="003C5F4D">
        <w:rPr>
          <w:rFonts w:cs="Times New Roman"/>
          <w:i/>
          <w:iCs/>
          <w:szCs w:val="24"/>
        </w:rPr>
        <w:t xml:space="preserve"> </w:t>
      </w:r>
      <w:r w:rsidR="003C5F4D">
        <w:rPr>
          <w:rFonts w:cs="Times New Roman"/>
          <w:szCs w:val="24"/>
        </w:rPr>
        <w:t xml:space="preserve">y </w:t>
      </w:r>
      <w:r w:rsidR="002A4FCD">
        <w:rPr>
          <w:rFonts w:cs="Times New Roman"/>
          <w:szCs w:val="24"/>
        </w:rPr>
        <w:t xml:space="preserve">el anexo </w:t>
      </w:r>
      <w:r w:rsidR="003C5F4D">
        <w:rPr>
          <w:rFonts w:cs="Times New Roman"/>
          <w:szCs w:val="24"/>
        </w:rPr>
        <w:t>correspondiente</w:t>
      </w:r>
      <w:r w:rsidR="00775B6A">
        <w:rPr>
          <w:rFonts w:cs="Times New Roman"/>
          <w:szCs w:val="24"/>
        </w:rPr>
        <w:t>,</w:t>
      </w:r>
      <w:r w:rsidR="00775B6A" w:rsidRPr="00775B6A">
        <w:rPr>
          <w:rFonts w:cs="Times New Roman"/>
          <w:szCs w:val="24"/>
        </w:rPr>
        <w:t xml:space="preserve"> del acuerdo SP-A-141-2010, de las once horas del treinta de abril de 2010.</w:t>
      </w:r>
    </w:p>
    <w:p w14:paraId="5980C6E3" w14:textId="77777777" w:rsidR="000C5440" w:rsidRDefault="000C5440" w:rsidP="00A9750B">
      <w:pPr>
        <w:pStyle w:val="Prrafodelista"/>
        <w:spacing w:line="240" w:lineRule="auto"/>
        <w:jc w:val="center"/>
        <w:rPr>
          <w:rFonts w:cs="Times New Roman"/>
          <w:b/>
          <w:bCs/>
          <w:szCs w:val="24"/>
        </w:rPr>
      </w:pPr>
    </w:p>
    <w:p w14:paraId="349F26FC" w14:textId="77777777" w:rsidR="00A9750B" w:rsidRDefault="00A9750B" w:rsidP="00A9750B">
      <w:pPr>
        <w:pStyle w:val="Prrafodelista"/>
        <w:spacing w:line="240" w:lineRule="auto"/>
        <w:jc w:val="center"/>
        <w:rPr>
          <w:rFonts w:cs="Times New Roman"/>
          <w:b/>
          <w:bCs/>
          <w:szCs w:val="24"/>
        </w:rPr>
      </w:pPr>
    </w:p>
    <w:p w14:paraId="7B50129B" w14:textId="21C68FA1" w:rsidR="00B81A10" w:rsidRPr="00E312ED" w:rsidRDefault="00B81A10" w:rsidP="00A9750B">
      <w:pPr>
        <w:pStyle w:val="Prrafodelista"/>
        <w:spacing w:line="240" w:lineRule="auto"/>
        <w:jc w:val="center"/>
        <w:rPr>
          <w:rFonts w:cs="Times New Roman"/>
          <w:b/>
          <w:bCs/>
          <w:szCs w:val="24"/>
        </w:rPr>
      </w:pPr>
      <w:r w:rsidRPr="00E312ED">
        <w:rPr>
          <w:rFonts w:cs="Times New Roman"/>
          <w:b/>
          <w:bCs/>
          <w:szCs w:val="24"/>
        </w:rPr>
        <w:t>POR TANTO:</w:t>
      </w:r>
    </w:p>
    <w:p w14:paraId="49E6BCB8" w14:textId="77777777" w:rsidR="00B81A10" w:rsidRPr="00E312ED" w:rsidRDefault="00B81A10" w:rsidP="00A9750B">
      <w:pPr>
        <w:pStyle w:val="Prrafodelista"/>
        <w:spacing w:line="240" w:lineRule="auto"/>
        <w:jc w:val="both"/>
        <w:rPr>
          <w:rFonts w:cs="Times New Roman"/>
          <w:b/>
          <w:bCs/>
          <w:szCs w:val="24"/>
        </w:rPr>
      </w:pPr>
    </w:p>
    <w:p w14:paraId="33E2B4CA" w14:textId="3EA058DD" w:rsidR="00B81A10" w:rsidRPr="00E312ED" w:rsidRDefault="00B57635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E312ED">
        <w:rPr>
          <w:rFonts w:cs="Times New Roman"/>
          <w:b/>
          <w:bCs/>
          <w:szCs w:val="24"/>
        </w:rPr>
        <w:t>Primero</w:t>
      </w:r>
      <w:r w:rsidR="00B92A86" w:rsidRPr="00E312ED">
        <w:rPr>
          <w:rFonts w:cs="Times New Roman"/>
          <w:b/>
          <w:bCs/>
          <w:szCs w:val="24"/>
        </w:rPr>
        <w:t>:</w:t>
      </w:r>
      <w:r w:rsidRPr="00E312ED">
        <w:rPr>
          <w:rFonts w:cs="Times New Roman"/>
          <w:szCs w:val="24"/>
        </w:rPr>
        <w:t xml:space="preserve"> </w:t>
      </w:r>
      <w:r w:rsidR="00B81A10" w:rsidRPr="00E312ED">
        <w:rPr>
          <w:rFonts w:cs="Times New Roman"/>
          <w:szCs w:val="24"/>
        </w:rPr>
        <w:t xml:space="preserve">Se </w:t>
      </w:r>
      <w:r w:rsidR="00A120AD" w:rsidRPr="00E312ED">
        <w:rPr>
          <w:rFonts w:cs="Times New Roman"/>
          <w:szCs w:val="24"/>
        </w:rPr>
        <w:t>reforma</w:t>
      </w:r>
      <w:r w:rsidR="00AC6495" w:rsidRPr="00E312ED">
        <w:rPr>
          <w:rFonts w:cs="Times New Roman"/>
          <w:szCs w:val="24"/>
        </w:rPr>
        <w:t>n</w:t>
      </w:r>
      <w:r w:rsidR="00A120AD" w:rsidRPr="00E312ED">
        <w:rPr>
          <w:rFonts w:cs="Times New Roman"/>
          <w:szCs w:val="24"/>
        </w:rPr>
        <w:t xml:space="preserve"> </w:t>
      </w:r>
      <w:r w:rsidR="00AC6495" w:rsidRPr="00E312ED">
        <w:rPr>
          <w:rFonts w:cs="Times New Roman"/>
          <w:szCs w:val="24"/>
        </w:rPr>
        <w:t xml:space="preserve">los </w:t>
      </w:r>
      <w:r w:rsidR="00A120AD" w:rsidRPr="00E312ED">
        <w:rPr>
          <w:rFonts w:cs="Times New Roman"/>
          <w:szCs w:val="24"/>
        </w:rPr>
        <w:t>artículo</w:t>
      </w:r>
      <w:r w:rsidR="00AC6495" w:rsidRPr="00E312ED">
        <w:rPr>
          <w:rFonts w:cs="Times New Roman"/>
          <w:szCs w:val="24"/>
        </w:rPr>
        <w:t>s</w:t>
      </w:r>
      <w:r w:rsidR="00A120AD" w:rsidRPr="00E312ED">
        <w:rPr>
          <w:rFonts w:cs="Times New Roman"/>
          <w:szCs w:val="24"/>
        </w:rPr>
        <w:t xml:space="preserve"> </w:t>
      </w:r>
      <w:r w:rsidR="000F0254" w:rsidRPr="00E312ED">
        <w:rPr>
          <w:rFonts w:cs="Times New Roman"/>
          <w:szCs w:val="24"/>
        </w:rPr>
        <w:t>3</w:t>
      </w:r>
      <w:r w:rsidR="00D87BC9">
        <w:rPr>
          <w:rFonts w:cs="Times New Roman"/>
          <w:szCs w:val="24"/>
        </w:rPr>
        <w:t xml:space="preserve"> </w:t>
      </w:r>
      <w:r w:rsidR="000F0254" w:rsidRPr="00E312ED">
        <w:rPr>
          <w:rFonts w:cs="Times New Roman"/>
          <w:szCs w:val="24"/>
        </w:rPr>
        <w:t xml:space="preserve">y </w:t>
      </w:r>
      <w:r w:rsidR="00E75AF5" w:rsidRPr="00E312ED">
        <w:rPr>
          <w:rFonts w:cs="Times New Roman"/>
          <w:szCs w:val="24"/>
        </w:rPr>
        <w:t xml:space="preserve">15 </w:t>
      </w:r>
      <w:r w:rsidR="00A120AD" w:rsidRPr="00E312ED">
        <w:rPr>
          <w:rFonts w:cs="Times New Roman"/>
          <w:szCs w:val="24"/>
        </w:rPr>
        <w:t xml:space="preserve">del acuerdo </w:t>
      </w:r>
      <w:r w:rsidR="00A120AD" w:rsidRPr="00E312ED">
        <w:rPr>
          <w:rFonts w:cs="Times New Roman"/>
          <w:i/>
          <w:iCs/>
          <w:szCs w:val="24"/>
        </w:rPr>
        <w:t>SP-A-141-2010, de las once horas del treinta de abril de 2010</w:t>
      </w:r>
      <w:r w:rsidR="00B81A10" w:rsidRPr="00E312ED">
        <w:rPr>
          <w:rFonts w:cs="Times New Roman"/>
          <w:szCs w:val="24"/>
        </w:rPr>
        <w:t xml:space="preserve">, para que, </w:t>
      </w:r>
      <w:r w:rsidR="00EE19E0">
        <w:rPr>
          <w:rFonts w:cs="Times New Roman"/>
          <w:szCs w:val="24"/>
        </w:rPr>
        <w:t xml:space="preserve">en lo sucesivo, se </w:t>
      </w:r>
      <w:r w:rsidR="00B81A10" w:rsidRPr="00E312ED">
        <w:rPr>
          <w:rFonts w:cs="Times New Roman"/>
          <w:szCs w:val="24"/>
        </w:rPr>
        <w:t>lea</w:t>
      </w:r>
      <w:r w:rsidR="000F0254" w:rsidRPr="00E312ED">
        <w:rPr>
          <w:rFonts w:cs="Times New Roman"/>
          <w:szCs w:val="24"/>
        </w:rPr>
        <w:t>n</w:t>
      </w:r>
      <w:r w:rsidR="00B81A10" w:rsidRPr="00E312ED">
        <w:rPr>
          <w:rFonts w:cs="Times New Roman"/>
          <w:szCs w:val="24"/>
        </w:rPr>
        <w:t xml:space="preserve"> de la siguiente forma:</w:t>
      </w:r>
    </w:p>
    <w:p w14:paraId="44743EF6" w14:textId="77777777" w:rsidR="003F0F3A" w:rsidRPr="00E312ED" w:rsidRDefault="003F0F3A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3AA0447A" w14:textId="77777777" w:rsidR="000F0254" w:rsidRPr="00E312ED" w:rsidRDefault="000F0254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“</w:t>
      </w:r>
      <w:r w:rsidRPr="00E312ED">
        <w:rPr>
          <w:rFonts w:cs="Times New Roman"/>
          <w:b/>
          <w:bCs/>
          <w:szCs w:val="24"/>
        </w:rPr>
        <w:t>Artículo 3. Recálculo de la pensión complementaria y ajuste por pensión mínima</w:t>
      </w:r>
      <w:r w:rsidRPr="00E312ED">
        <w:rPr>
          <w:rFonts w:cs="Times New Roman"/>
          <w:szCs w:val="24"/>
        </w:rPr>
        <w:t xml:space="preserve"> </w:t>
      </w:r>
    </w:p>
    <w:p w14:paraId="316FBF62" w14:textId="77777777" w:rsidR="000F0254" w:rsidRPr="00E312ED" w:rsidRDefault="000F0254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270DDBE2" w14:textId="7FBFF575" w:rsidR="000F0254" w:rsidRDefault="000F0254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Con excepción de las Rentas Permanentes, en donde el recálculo de la pensión se realizará cada treinta y seis meses, una vez realizados doce pagos mensuales de pensión en la modalidad elegida por el pensionado, la OPC verificará el recálculo de la pensión complementaria, cuando</w:t>
      </w:r>
      <w:r w:rsidR="00E82519" w:rsidRPr="00E312ED">
        <w:rPr>
          <w:rFonts w:cs="Times New Roman"/>
          <w:szCs w:val="24"/>
        </w:rPr>
        <w:t xml:space="preserve"> este</w:t>
      </w:r>
      <w:r w:rsidRPr="00E312ED">
        <w:rPr>
          <w:rFonts w:cs="Times New Roman"/>
          <w:szCs w:val="24"/>
        </w:rPr>
        <w:t xml:space="preserve"> corresponda</w:t>
      </w:r>
      <w:r w:rsidR="007274CA">
        <w:rPr>
          <w:rFonts w:cs="Times New Roman"/>
          <w:szCs w:val="24"/>
        </w:rPr>
        <w:t xml:space="preserve"> </w:t>
      </w:r>
      <w:r w:rsidR="00620A5D">
        <w:rPr>
          <w:rFonts w:cs="Times New Roman"/>
          <w:szCs w:val="24"/>
        </w:rPr>
        <w:t>según el producto.</w:t>
      </w:r>
    </w:p>
    <w:p w14:paraId="6A02D653" w14:textId="77777777" w:rsidR="00655F83" w:rsidRPr="003319E3" w:rsidRDefault="00655F83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5C318BF6" w14:textId="2BA6745C" w:rsidR="00655F83" w:rsidRPr="003319E3" w:rsidRDefault="00655F83" w:rsidP="00655F83">
      <w:pPr>
        <w:spacing w:line="276" w:lineRule="auto"/>
        <w:jc w:val="both"/>
        <w:rPr>
          <w:rFonts w:cs="Times New Roman"/>
          <w:szCs w:val="24"/>
        </w:rPr>
      </w:pPr>
      <w:r w:rsidRPr="003319E3">
        <w:t>Al momento del recálculo, según el párrafo anterior, el afiliado podrá cambiar de modalidad de pensión.</w:t>
      </w:r>
    </w:p>
    <w:p w14:paraId="59B9394D" w14:textId="77777777" w:rsidR="00AC6495" w:rsidRPr="00E312ED" w:rsidRDefault="00AC6495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31D834C3" w14:textId="4C6DDDF1" w:rsidR="000F0254" w:rsidRPr="00E312ED" w:rsidRDefault="000F0254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 xml:space="preserve">En ningún caso, la pensión complementaria puede ser inferior al 20% de la pensión mínima del Régimen de Invalidez, Vejez y Muerte de la Caja Costarricense de Seguro Social, por lo que el ajuste de la pensión complementaria se realizará en el siguiente pago mensual de la </w:t>
      </w:r>
      <w:r w:rsidRPr="00E312ED">
        <w:rPr>
          <w:rFonts w:cs="Times New Roman"/>
          <w:szCs w:val="24"/>
        </w:rPr>
        <w:lastRenderedPageBreak/>
        <w:t>pensión.</w:t>
      </w:r>
      <w:r w:rsidR="003177A7" w:rsidRPr="00E312ED">
        <w:rPr>
          <w:rFonts w:cs="Times New Roman"/>
          <w:szCs w:val="24"/>
        </w:rPr>
        <w:t xml:space="preserve"> La OPC realizará los recálculos</w:t>
      </w:r>
      <w:r w:rsidR="00C13156">
        <w:rPr>
          <w:rStyle w:val="Refdecomentario"/>
          <w:rFonts w:cs="Times New Roman"/>
          <w:sz w:val="24"/>
          <w:szCs w:val="24"/>
        </w:rPr>
        <w:t>, en la periodicidad que corresponda,</w:t>
      </w:r>
      <w:r w:rsidR="003177A7" w:rsidRPr="00E312ED">
        <w:rPr>
          <w:rFonts w:cs="Times New Roman"/>
          <w:szCs w:val="24"/>
        </w:rPr>
        <w:t xml:space="preserve"> verifica</w:t>
      </w:r>
      <w:r w:rsidR="00E73EF8">
        <w:rPr>
          <w:rFonts w:cs="Times New Roman"/>
          <w:szCs w:val="24"/>
        </w:rPr>
        <w:t>ndo</w:t>
      </w:r>
      <w:r w:rsidR="003177A7" w:rsidRPr="00E312ED">
        <w:rPr>
          <w:rFonts w:cs="Times New Roman"/>
          <w:szCs w:val="24"/>
        </w:rPr>
        <w:t xml:space="preserve"> si la pensión supera el mínimo señalado, en cuyo caso pagará la pensión resultante de ese cálculo.</w:t>
      </w:r>
    </w:p>
    <w:p w14:paraId="4E6CE4FF" w14:textId="77777777" w:rsidR="00AC6495" w:rsidRPr="00E312ED" w:rsidRDefault="00AC6495" w:rsidP="00A9750B">
      <w:pPr>
        <w:spacing w:line="240" w:lineRule="auto"/>
        <w:contextualSpacing/>
        <w:jc w:val="both"/>
        <w:rPr>
          <w:rFonts w:cs="Times New Roman"/>
          <w:szCs w:val="24"/>
        </w:rPr>
      </w:pPr>
    </w:p>
    <w:p w14:paraId="4299E167" w14:textId="77777777" w:rsidR="00A75B75" w:rsidRPr="00E312ED" w:rsidRDefault="000F0254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Los incrementos en el saldo que se produzcan durante el período serán considerados hasta el siguiente recálculo para incrementar el pago de la pensión.”</w:t>
      </w:r>
    </w:p>
    <w:p w14:paraId="6E160D25" w14:textId="77777777" w:rsidR="003177A7" w:rsidRPr="00E312ED" w:rsidRDefault="003177A7" w:rsidP="00A9750B">
      <w:pPr>
        <w:spacing w:line="240" w:lineRule="auto"/>
        <w:contextualSpacing/>
        <w:jc w:val="both"/>
        <w:rPr>
          <w:rFonts w:eastAsia="Times New Roman" w:cs="Times New Roman"/>
          <w:i/>
          <w:iCs/>
          <w:szCs w:val="24"/>
          <w:lang w:val="es-CR" w:eastAsia="es-ES"/>
        </w:rPr>
      </w:pPr>
    </w:p>
    <w:p w14:paraId="5F0329AB" w14:textId="77777777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b/>
          <w:bCs/>
          <w:szCs w:val="24"/>
          <w:lang w:val="es-CR" w:eastAsia="es-ES"/>
        </w:rPr>
      </w:pPr>
      <w:r w:rsidRPr="0055396E">
        <w:rPr>
          <w:rFonts w:eastAsia="Times New Roman" w:cs="Times New Roman"/>
          <w:b/>
          <w:bCs/>
          <w:szCs w:val="24"/>
          <w:lang w:val="es-CR" w:eastAsia="es-ES"/>
        </w:rPr>
        <w:t xml:space="preserve">“Artículo 15. Renta permanente </w:t>
      </w:r>
    </w:p>
    <w:p w14:paraId="17626E40" w14:textId="77777777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</w:p>
    <w:p w14:paraId="2F2AA375" w14:textId="2E7847F8" w:rsidR="003177A7" w:rsidRPr="0055396E" w:rsidRDefault="003177A7" w:rsidP="00770730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  <w:r w:rsidRPr="0055396E">
        <w:rPr>
          <w:rFonts w:eastAsia="Times New Roman" w:cs="Times New Roman"/>
          <w:szCs w:val="24"/>
          <w:lang w:val="es-CR" w:eastAsia="es-ES"/>
        </w:rPr>
        <w:t xml:space="preserve">A partir de la suscripción del contrato, tanto para el ROP como para el RVPC, se determinará la suma a entregar mensualmente a los pensionados. Dicha suma se establece </w:t>
      </w:r>
      <w:r w:rsidR="000F343E">
        <w:rPr>
          <w:rFonts w:eastAsia="Times New Roman" w:cs="Times New Roman"/>
          <w:szCs w:val="24"/>
          <w:lang w:val="es-CR" w:eastAsia="es-ES"/>
        </w:rPr>
        <w:t>en</w:t>
      </w:r>
      <w:r w:rsidR="00BB37DE">
        <w:rPr>
          <w:rFonts w:eastAsia="Times New Roman" w:cs="Times New Roman"/>
          <w:szCs w:val="24"/>
          <w:lang w:val="es-CR" w:eastAsia="es-ES"/>
        </w:rPr>
        <w:t xml:space="preserve"> la </w:t>
      </w:r>
      <w:r w:rsidR="008805A6">
        <w:rPr>
          <w:rFonts w:eastAsia="Times New Roman" w:cs="Times New Roman"/>
          <w:szCs w:val="24"/>
          <w:lang w:val="es-CR" w:eastAsia="es-ES"/>
        </w:rPr>
        <w:t>treintaiseisava</w:t>
      </w:r>
      <w:r w:rsidR="00BB37DE">
        <w:rPr>
          <w:rFonts w:eastAsia="Times New Roman" w:cs="Times New Roman"/>
          <w:szCs w:val="24"/>
          <w:lang w:val="es-CR" w:eastAsia="es-ES"/>
        </w:rPr>
        <w:t xml:space="preserve"> parte </w:t>
      </w:r>
      <w:r w:rsidRPr="0055396E">
        <w:rPr>
          <w:rFonts w:eastAsia="Times New Roman" w:cs="Times New Roman"/>
          <w:szCs w:val="24"/>
          <w:lang w:val="es-CR" w:eastAsia="es-ES"/>
        </w:rPr>
        <w:t>de los rendimientos netos devengados por su cuenta individual durante los treinta y seis meses calendario inmediatos anteriores</w:t>
      </w:r>
      <w:r w:rsidR="00770730">
        <w:rPr>
          <w:rFonts w:eastAsia="Times New Roman" w:cs="Times New Roman"/>
          <w:szCs w:val="24"/>
          <w:lang w:val="es-CR" w:eastAsia="es-ES"/>
        </w:rPr>
        <w:t>.</w:t>
      </w:r>
    </w:p>
    <w:p w14:paraId="11CD7DFF" w14:textId="77777777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</w:p>
    <w:p w14:paraId="136765D9" w14:textId="5D5DC358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  <w:r w:rsidRPr="0055396E">
        <w:rPr>
          <w:rFonts w:eastAsia="Times New Roman" w:cs="Times New Roman"/>
          <w:szCs w:val="24"/>
          <w:lang w:val="es-CR" w:eastAsia="es-ES"/>
        </w:rPr>
        <w:t>Para la determinación del primer período se tomarán en consideración los rendimientos netos devengados, durante los últimos treinta y seis meses calendario inmediatos anteriores</w:t>
      </w:r>
      <w:r w:rsidR="00F1137F">
        <w:rPr>
          <w:rFonts w:eastAsia="Times New Roman" w:cs="Times New Roman"/>
          <w:szCs w:val="24"/>
          <w:lang w:val="es-CR" w:eastAsia="es-ES"/>
        </w:rPr>
        <w:t>.</w:t>
      </w:r>
    </w:p>
    <w:p w14:paraId="00BAF0E1" w14:textId="77777777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</w:p>
    <w:p w14:paraId="1EB7A050" w14:textId="4904EC73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  <w:r w:rsidRPr="0055396E">
        <w:rPr>
          <w:rFonts w:eastAsia="Times New Roman" w:cs="Times New Roman"/>
          <w:szCs w:val="24"/>
          <w:lang w:val="es-CR" w:eastAsia="es-ES"/>
        </w:rPr>
        <w:t>El monto de la renta permanente se mantendrá sin modificación durante treinta y seis meses. Posteriormente</w:t>
      </w:r>
      <w:r w:rsidR="00E31B06">
        <w:rPr>
          <w:rFonts w:eastAsia="Times New Roman" w:cs="Times New Roman"/>
          <w:szCs w:val="24"/>
          <w:lang w:val="es-CR" w:eastAsia="es-ES"/>
        </w:rPr>
        <w:t>,</w:t>
      </w:r>
      <w:r w:rsidRPr="0055396E">
        <w:rPr>
          <w:rFonts w:eastAsia="Times New Roman" w:cs="Times New Roman"/>
          <w:szCs w:val="24"/>
          <w:lang w:val="es-CR" w:eastAsia="es-ES"/>
        </w:rPr>
        <w:t xml:space="preserve"> se revisará y ajustará siguiendo el mecanismo dispuesto en el primer párrafo de este artículo.</w:t>
      </w:r>
    </w:p>
    <w:p w14:paraId="058DD5DD" w14:textId="77777777" w:rsidR="003177A7" w:rsidRPr="0055396E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</w:p>
    <w:p w14:paraId="38AF4CED" w14:textId="5AC85124" w:rsidR="00381759" w:rsidRDefault="003177A7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  <w:r w:rsidRPr="0055396E">
        <w:rPr>
          <w:rFonts w:eastAsia="Times New Roman" w:cs="Times New Roman"/>
          <w:szCs w:val="24"/>
          <w:lang w:val="es-CR" w:eastAsia="es-ES"/>
        </w:rPr>
        <w:t>La pensión bajo esta modalidad se o</w:t>
      </w:r>
      <w:r w:rsidR="005123FD">
        <w:rPr>
          <w:rFonts w:eastAsia="Times New Roman" w:cs="Times New Roman"/>
          <w:szCs w:val="24"/>
          <w:lang w:val="es-CR" w:eastAsia="es-ES"/>
        </w:rPr>
        <w:t xml:space="preserve">torgará </w:t>
      </w:r>
      <w:r w:rsidRPr="0055396E">
        <w:rPr>
          <w:rFonts w:eastAsia="Times New Roman" w:cs="Times New Roman"/>
          <w:szCs w:val="24"/>
          <w:lang w:val="es-CR" w:eastAsia="es-ES"/>
        </w:rPr>
        <w:t xml:space="preserve">siempre que en los últimos treinta y seis meses </w:t>
      </w:r>
      <w:r w:rsidR="00DF6DFB" w:rsidRPr="0055396E">
        <w:rPr>
          <w:rFonts w:eastAsia="Times New Roman" w:cs="Times New Roman"/>
          <w:szCs w:val="24"/>
          <w:lang w:val="es-CR" w:eastAsia="es-ES"/>
        </w:rPr>
        <w:t xml:space="preserve">el acumulado de los </w:t>
      </w:r>
      <w:r w:rsidRPr="0055396E">
        <w:rPr>
          <w:rFonts w:eastAsia="Times New Roman" w:cs="Times New Roman"/>
          <w:szCs w:val="24"/>
          <w:lang w:val="es-CR" w:eastAsia="es-ES"/>
        </w:rPr>
        <w:t xml:space="preserve">rendimientos netos </w:t>
      </w:r>
      <w:r w:rsidR="00DF6DFB" w:rsidRPr="0055396E">
        <w:rPr>
          <w:rFonts w:eastAsia="Times New Roman" w:cs="Times New Roman"/>
          <w:szCs w:val="24"/>
          <w:lang w:val="es-CR" w:eastAsia="es-ES"/>
        </w:rPr>
        <w:t xml:space="preserve">sea un valor </w:t>
      </w:r>
      <w:r w:rsidRPr="0055396E">
        <w:rPr>
          <w:rFonts w:eastAsia="Times New Roman" w:cs="Times New Roman"/>
          <w:szCs w:val="24"/>
          <w:lang w:val="es-CR" w:eastAsia="es-ES"/>
        </w:rPr>
        <w:t>positivo.”</w:t>
      </w:r>
    </w:p>
    <w:p w14:paraId="51DDB954" w14:textId="77777777" w:rsidR="00443956" w:rsidRPr="00443956" w:rsidRDefault="00443956" w:rsidP="00A9750B">
      <w:pPr>
        <w:spacing w:line="240" w:lineRule="auto"/>
        <w:contextualSpacing/>
        <w:jc w:val="both"/>
        <w:rPr>
          <w:rFonts w:eastAsia="Times New Roman" w:cs="Times New Roman"/>
          <w:szCs w:val="24"/>
          <w:lang w:val="es-CR" w:eastAsia="es-ES"/>
        </w:rPr>
      </w:pPr>
    </w:p>
    <w:p w14:paraId="513D5183" w14:textId="1535F300" w:rsidR="00B92A86" w:rsidRDefault="00443956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>
        <w:rPr>
          <w:rFonts w:cs="Times New Roman"/>
          <w:b/>
          <w:bCs/>
          <w:szCs w:val="24"/>
        </w:rPr>
        <w:t xml:space="preserve">Segundo: </w:t>
      </w:r>
      <w:r w:rsidR="00B92A86" w:rsidRPr="00E312ED">
        <w:rPr>
          <w:rFonts w:cs="Times New Roman"/>
          <w:szCs w:val="24"/>
        </w:rPr>
        <w:t xml:space="preserve">Se deroga el Capítulo V. </w:t>
      </w:r>
      <w:r w:rsidR="00B92A86" w:rsidRPr="00E312ED">
        <w:rPr>
          <w:rFonts w:cs="Times New Roman"/>
          <w:i/>
          <w:iCs/>
          <w:szCs w:val="24"/>
        </w:rPr>
        <w:t>“Elección de la modalidad de pensión”</w:t>
      </w:r>
      <w:r w:rsidR="00576F3D" w:rsidRPr="00E312ED">
        <w:rPr>
          <w:rFonts w:cs="Times New Roman"/>
          <w:i/>
          <w:iCs/>
          <w:szCs w:val="24"/>
        </w:rPr>
        <w:t xml:space="preserve"> </w:t>
      </w:r>
      <w:r w:rsidR="003674AD">
        <w:rPr>
          <w:rFonts w:cs="Times New Roman"/>
          <w:szCs w:val="24"/>
        </w:rPr>
        <w:t xml:space="preserve">y </w:t>
      </w:r>
      <w:r w:rsidR="002A4FCD">
        <w:rPr>
          <w:rFonts w:cs="Times New Roman"/>
          <w:szCs w:val="24"/>
        </w:rPr>
        <w:t>el</w:t>
      </w:r>
      <w:r w:rsidR="003674AD">
        <w:rPr>
          <w:rFonts w:cs="Times New Roman"/>
          <w:szCs w:val="24"/>
        </w:rPr>
        <w:t xml:space="preserve"> anexo I </w:t>
      </w:r>
      <w:r w:rsidR="00576F3D" w:rsidRPr="00E312ED">
        <w:rPr>
          <w:rFonts w:cs="Times New Roman"/>
          <w:szCs w:val="24"/>
        </w:rPr>
        <w:t>del</w:t>
      </w:r>
      <w:r w:rsidR="00E72DE7" w:rsidRPr="00E312ED">
        <w:rPr>
          <w:rFonts w:cs="Times New Roman"/>
          <w:szCs w:val="24"/>
        </w:rPr>
        <w:t xml:space="preserve"> acuerdo</w:t>
      </w:r>
      <w:r w:rsidR="00576F3D" w:rsidRPr="00E312ED">
        <w:rPr>
          <w:rFonts w:cs="Times New Roman"/>
          <w:szCs w:val="24"/>
        </w:rPr>
        <w:t xml:space="preserve"> SP-A-141-2010, de las once horas del treinta de abril de 2010</w:t>
      </w:r>
      <w:r w:rsidR="00E72DE7" w:rsidRPr="00E312ED">
        <w:rPr>
          <w:rFonts w:cs="Times New Roman"/>
          <w:szCs w:val="24"/>
        </w:rPr>
        <w:t>.</w:t>
      </w:r>
    </w:p>
    <w:p w14:paraId="7F08245B" w14:textId="77777777" w:rsidR="00DF5603" w:rsidRPr="00443956" w:rsidRDefault="00DF5603" w:rsidP="00A9750B">
      <w:pPr>
        <w:spacing w:line="240" w:lineRule="auto"/>
        <w:contextualSpacing/>
        <w:jc w:val="both"/>
        <w:rPr>
          <w:rFonts w:cs="Times New Roman"/>
          <w:b/>
          <w:bCs/>
          <w:szCs w:val="24"/>
        </w:rPr>
      </w:pPr>
    </w:p>
    <w:p w14:paraId="46B5C345" w14:textId="76119AD6" w:rsidR="00291B81" w:rsidRPr="00E312ED" w:rsidRDefault="00443956" w:rsidP="00A9750B">
      <w:pPr>
        <w:spacing w:line="240" w:lineRule="auto"/>
        <w:contextualSpacing/>
        <w:jc w:val="both"/>
        <w:rPr>
          <w:rFonts w:cs="Times New Roman"/>
          <w:szCs w:val="24"/>
        </w:rPr>
      </w:pPr>
      <w:r w:rsidRPr="006078F5">
        <w:rPr>
          <w:rFonts w:cs="Times New Roman"/>
          <w:b/>
          <w:bCs/>
          <w:szCs w:val="24"/>
        </w:rPr>
        <w:t>Vigencia:</w:t>
      </w:r>
      <w:r w:rsidRPr="006078F5">
        <w:rPr>
          <w:rFonts w:cs="Times New Roman"/>
          <w:szCs w:val="24"/>
        </w:rPr>
        <w:t xml:space="preserve"> </w:t>
      </w:r>
      <w:r w:rsidR="00A0540D">
        <w:rPr>
          <w:rFonts w:cs="Times New Roman"/>
          <w:szCs w:val="24"/>
        </w:rPr>
        <w:t xml:space="preserve"> Las anteriores reformas r</w:t>
      </w:r>
      <w:r w:rsidR="00291B81" w:rsidRPr="006078F5">
        <w:rPr>
          <w:rFonts w:cs="Times New Roman"/>
          <w:szCs w:val="24"/>
        </w:rPr>
        <w:t>ige</w:t>
      </w:r>
      <w:r w:rsidR="00A0540D">
        <w:rPr>
          <w:rFonts w:cs="Times New Roman"/>
          <w:szCs w:val="24"/>
        </w:rPr>
        <w:t>n</w:t>
      </w:r>
      <w:r w:rsidR="00F909F4">
        <w:rPr>
          <w:rFonts w:cs="Times New Roman"/>
          <w:szCs w:val="24"/>
        </w:rPr>
        <w:t xml:space="preserve"> </w:t>
      </w:r>
      <w:r w:rsidR="006D2E2A" w:rsidRPr="006078F5">
        <w:rPr>
          <w:rFonts w:cs="Times New Roman"/>
          <w:szCs w:val="24"/>
        </w:rPr>
        <w:t>conjuntamente</w:t>
      </w:r>
      <w:r w:rsidR="00F909F4">
        <w:rPr>
          <w:rFonts w:cs="Times New Roman"/>
          <w:szCs w:val="24"/>
        </w:rPr>
        <w:t xml:space="preserve"> </w:t>
      </w:r>
      <w:r w:rsidR="006D2E2A" w:rsidRPr="006078F5">
        <w:rPr>
          <w:rFonts w:cs="Times New Roman"/>
          <w:szCs w:val="24"/>
        </w:rPr>
        <w:t xml:space="preserve">con la entrada en vigencia de la </w:t>
      </w:r>
      <w:r w:rsidR="003419A0">
        <w:rPr>
          <w:rFonts w:cs="Times New Roman"/>
          <w:szCs w:val="24"/>
        </w:rPr>
        <w:t xml:space="preserve">correspondiente a </w:t>
      </w:r>
      <w:r w:rsidR="006D2E2A" w:rsidRPr="006078F5">
        <w:rPr>
          <w:rFonts w:cs="Times New Roman"/>
          <w:szCs w:val="24"/>
        </w:rPr>
        <w:t xml:space="preserve">los artículos 2, 9, 22, </w:t>
      </w:r>
      <w:r w:rsidR="004D6314">
        <w:rPr>
          <w:rFonts w:cs="Times New Roman"/>
          <w:szCs w:val="24"/>
        </w:rPr>
        <w:t xml:space="preserve">35 y </w:t>
      </w:r>
      <w:r w:rsidR="006D2E2A" w:rsidRPr="006078F5">
        <w:rPr>
          <w:rFonts w:cs="Times New Roman"/>
          <w:szCs w:val="24"/>
        </w:rPr>
        <w:t xml:space="preserve">47 del </w:t>
      </w:r>
      <w:r w:rsidR="006D2E2A" w:rsidRPr="003419A0">
        <w:rPr>
          <w:rFonts w:cs="Times New Roman"/>
          <w:i/>
          <w:iCs/>
          <w:szCs w:val="24"/>
        </w:rPr>
        <w:t>Reglamento de beneficios del Régimen de capitalización individual</w:t>
      </w:r>
      <w:r w:rsidR="00B67D5C" w:rsidRPr="003419A0">
        <w:rPr>
          <w:rFonts w:cs="Times New Roman"/>
          <w:i/>
          <w:iCs/>
          <w:szCs w:val="24"/>
        </w:rPr>
        <w:t>,</w:t>
      </w:r>
      <w:r w:rsidR="00B67D5C" w:rsidRPr="006078F5">
        <w:rPr>
          <w:rFonts w:cs="Times New Roman"/>
          <w:szCs w:val="24"/>
        </w:rPr>
        <w:t xml:space="preserve"> </w:t>
      </w:r>
      <w:r w:rsidR="005B2218" w:rsidRPr="006078F5">
        <w:rPr>
          <w:rFonts w:cs="Times New Roman"/>
          <w:szCs w:val="24"/>
        </w:rPr>
        <w:t>publicad</w:t>
      </w:r>
      <w:r w:rsidR="00B67D5C" w:rsidRPr="006078F5">
        <w:rPr>
          <w:rFonts w:cs="Times New Roman"/>
          <w:szCs w:val="24"/>
        </w:rPr>
        <w:t>a</w:t>
      </w:r>
      <w:r w:rsidR="005B2218" w:rsidRPr="006078F5">
        <w:rPr>
          <w:rFonts w:cs="Times New Roman"/>
          <w:szCs w:val="24"/>
        </w:rPr>
        <w:t xml:space="preserve"> en el diario oficial La Gaceta No. 166 del 1° de setiembre de 2022</w:t>
      </w:r>
      <w:r w:rsidR="00B67D5C" w:rsidRPr="006078F5">
        <w:rPr>
          <w:rFonts w:cs="Times New Roman"/>
          <w:szCs w:val="24"/>
        </w:rPr>
        <w:t>.</w:t>
      </w:r>
    </w:p>
    <w:p w14:paraId="14E2328B" w14:textId="77777777" w:rsidR="00291B81" w:rsidRPr="00E312ED" w:rsidRDefault="00291B81" w:rsidP="00A9750B">
      <w:pPr>
        <w:spacing w:line="240" w:lineRule="auto"/>
        <w:contextualSpacing/>
        <w:rPr>
          <w:rFonts w:cs="Times New Roman"/>
          <w:szCs w:val="24"/>
        </w:rPr>
      </w:pPr>
    </w:p>
    <w:p w14:paraId="44B9C8E6" w14:textId="0ADA6404" w:rsidR="00291B81" w:rsidRPr="00E312ED" w:rsidRDefault="00291B81" w:rsidP="00A9750B">
      <w:pPr>
        <w:spacing w:line="240" w:lineRule="auto"/>
        <w:contextualSpacing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Comuníquese</w:t>
      </w:r>
      <w:r w:rsidR="006462CC">
        <w:rPr>
          <w:rFonts w:cs="Times New Roman"/>
          <w:szCs w:val="24"/>
        </w:rPr>
        <w:t xml:space="preserve"> </w:t>
      </w:r>
      <w:r w:rsidR="00127F1B">
        <w:rPr>
          <w:rFonts w:cs="Times New Roman"/>
          <w:szCs w:val="24"/>
        </w:rPr>
        <w:t>a las Operadoras de Pensión Complementaria.</w:t>
      </w:r>
    </w:p>
    <w:p w14:paraId="265D078F" w14:textId="77777777" w:rsidR="00A0168D" w:rsidRPr="00E312ED" w:rsidRDefault="00A0168D" w:rsidP="00A9750B">
      <w:pPr>
        <w:spacing w:line="240" w:lineRule="auto"/>
        <w:contextualSpacing/>
        <w:rPr>
          <w:rFonts w:cs="Times New Roman"/>
          <w:szCs w:val="24"/>
        </w:rPr>
      </w:pPr>
    </w:p>
    <w:p w14:paraId="59F7B0EB" w14:textId="77777777" w:rsidR="00851CCD" w:rsidRPr="00E312ED" w:rsidRDefault="00851CCD" w:rsidP="00A9750B">
      <w:pPr>
        <w:spacing w:line="240" w:lineRule="auto"/>
        <w:contextualSpacing/>
        <w:rPr>
          <w:rFonts w:cs="Times New Roman"/>
          <w:szCs w:val="24"/>
        </w:rPr>
      </w:pPr>
      <w:r w:rsidRPr="00E312ED">
        <w:rPr>
          <w:rFonts w:cs="Times New Roman"/>
          <w:noProof/>
          <w:szCs w:val="24"/>
          <w:lang w:val="es-CR" w:eastAsia="es-CR"/>
        </w:rPr>
        <w:drawing>
          <wp:inline distT="0" distB="0" distL="0" distR="0" wp14:anchorId="56C24CB5" wp14:editId="7705B19D">
            <wp:extent cx="1244600" cy="482600"/>
            <wp:effectExtent l="0" t="0" r="0" b="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firmadig_centrad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4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4B1B83" w14:textId="77777777" w:rsidR="00A0168D" w:rsidRPr="00E312ED" w:rsidRDefault="00A0168D" w:rsidP="00A9750B">
      <w:pPr>
        <w:spacing w:line="240" w:lineRule="auto"/>
        <w:contextualSpacing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Rocío Aguilar M.</w:t>
      </w:r>
    </w:p>
    <w:p w14:paraId="726B38E5" w14:textId="77777777" w:rsidR="00A0168D" w:rsidRPr="00E312ED" w:rsidRDefault="00A0168D" w:rsidP="00A9750B">
      <w:pPr>
        <w:spacing w:line="240" w:lineRule="auto"/>
        <w:contextualSpacing/>
        <w:rPr>
          <w:rFonts w:cs="Times New Roman"/>
          <w:szCs w:val="24"/>
        </w:rPr>
      </w:pPr>
      <w:r w:rsidRPr="00E312ED">
        <w:rPr>
          <w:rFonts w:cs="Times New Roman"/>
          <w:szCs w:val="24"/>
        </w:rPr>
        <w:t>Superintendente de Pensiones</w:t>
      </w:r>
    </w:p>
    <w:p w14:paraId="16728DE6" w14:textId="77777777" w:rsidR="006803D3" w:rsidRPr="00E312ED" w:rsidRDefault="006803D3" w:rsidP="00A9750B">
      <w:pPr>
        <w:spacing w:line="240" w:lineRule="auto"/>
        <w:contextualSpacing/>
        <w:rPr>
          <w:rFonts w:cs="Times New Roman"/>
          <w:szCs w:val="24"/>
        </w:rPr>
      </w:pPr>
    </w:p>
    <w:p w14:paraId="20CDD62E" w14:textId="77777777" w:rsidR="00EE3DE8" w:rsidRDefault="00EE3DE8" w:rsidP="00A9750B">
      <w:pPr>
        <w:spacing w:line="240" w:lineRule="auto"/>
        <w:contextualSpacing/>
        <w:rPr>
          <w:rFonts w:cs="Times New Roman"/>
          <w:szCs w:val="24"/>
        </w:rPr>
      </w:pPr>
    </w:p>
    <w:p w14:paraId="43BA68D3" w14:textId="06CD43C6" w:rsidR="006803D3" w:rsidRPr="00E312ED" w:rsidRDefault="004B3D1D" w:rsidP="00A9750B">
      <w:pPr>
        <w:spacing w:line="240" w:lineRule="auto"/>
        <w:contextualSpacing/>
        <w:rPr>
          <w:rFonts w:cs="Times New Roman"/>
          <w:i/>
          <w:color w:val="FF0000"/>
          <w:szCs w:val="24"/>
        </w:rPr>
      </w:pPr>
      <w:r w:rsidRPr="00E312ED">
        <w:rPr>
          <w:rFonts w:cs="Times New Roman"/>
          <w:szCs w:val="24"/>
        </w:rPr>
        <w:t>Aproba</w:t>
      </w:r>
      <w:r w:rsidR="00B65E0E" w:rsidRPr="00E312ED">
        <w:rPr>
          <w:rFonts w:cs="Times New Roman"/>
          <w:szCs w:val="24"/>
        </w:rPr>
        <w:t>d</w:t>
      </w:r>
      <w:r w:rsidRPr="00E312ED">
        <w:rPr>
          <w:rFonts w:cs="Times New Roman"/>
          <w:szCs w:val="24"/>
        </w:rPr>
        <w:t>o</w:t>
      </w:r>
      <w:r w:rsidR="006803D3" w:rsidRPr="00E312ED">
        <w:rPr>
          <w:rFonts w:cs="Times New Roman"/>
          <w:szCs w:val="24"/>
        </w:rPr>
        <w:t xml:space="preserve"> por</w:t>
      </w:r>
      <w:r w:rsidR="00F84625" w:rsidRPr="00E312ED">
        <w:rPr>
          <w:rFonts w:cs="Times New Roman"/>
          <w:szCs w:val="24"/>
        </w:rPr>
        <w:t xml:space="preserve"> </w:t>
      </w:r>
      <w:r w:rsidR="00A9750B">
        <w:rPr>
          <w:rFonts w:cs="Times New Roman"/>
          <w:szCs w:val="24"/>
        </w:rPr>
        <w:t>APU.</w:t>
      </w:r>
    </w:p>
    <w:sectPr w:rsidR="006803D3" w:rsidRPr="00E312ED" w:rsidSect="00D029E6">
      <w:headerReference w:type="default" r:id="rId12"/>
      <w:footerReference w:type="default" r:id="rId13"/>
      <w:headerReference w:type="first" r:id="rId14"/>
      <w:footerReference w:type="first" r:id="rId15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8608F" w14:textId="77777777" w:rsidR="00105871" w:rsidRDefault="00105871" w:rsidP="00011FAB">
      <w:pPr>
        <w:spacing w:line="240" w:lineRule="auto"/>
      </w:pPr>
      <w:r>
        <w:separator/>
      </w:r>
    </w:p>
  </w:endnote>
  <w:endnote w:type="continuationSeparator" w:id="0">
    <w:p w14:paraId="7F0ECAE7" w14:textId="77777777" w:rsidR="00105871" w:rsidRDefault="00105871" w:rsidP="0001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3A3FC" w14:textId="77777777" w:rsidR="008C0C1F" w:rsidRDefault="008C0C1F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2A56B0F2" w14:textId="77777777" w:rsidR="008C0C1F" w:rsidRPr="00BE078A" w:rsidRDefault="008C0C1F" w:rsidP="00D766AB">
    <w:pPr>
      <w:pStyle w:val="Piedepgina"/>
      <w:pBdr>
        <w:top w:val="single" w:sz="4" w:space="1" w:color="auto"/>
      </w:pBdr>
      <w:jc w:val="center"/>
      <w:rPr>
        <w:szCs w:val="24"/>
      </w:rPr>
    </w:pPr>
    <w:r>
      <w:rPr>
        <w:i/>
        <w:szCs w:val="24"/>
      </w:rPr>
      <w:t>Teléfonos  2243-4446  /  2243-4445</w:t>
    </w:r>
    <w:r>
      <w:rPr>
        <w:i/>
        <w:szCs w:val="24"/>
      </w:rPr>
      <w:tab/>
      <w:t xml:space="preserve">             Fax 2243-4444            </w:t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A9EA" w14:textId="77777777" w:rsidR="008C0C1F" w:rsidRDefault="008C0C1F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2CF62CDB" w14:textId="77777777" w:rsidR="008C0C1F" w:rsidRPr="00BE078A" w:rsidRDefault="008C0C1F" w:rsidP="00594A6E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Teléfonos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6C41F3" w14:textId="77777777" w:rsidR="00105871" w:rsidRDefault="00105871" w:rsidP="00011FAB">
      <w:pPr>
        <w:spacing w:line="240" w:lineRule="auto"/>
      </w:pPr>
      <w:r>
        <w:separator/>
      </w:r>
    </w:p>
  </w:footnote>
  <w:footnote w:type="continuationSeparator" w:id="0">
    <w:p w14:paraId="7093010A" w14:textId="77777777" w:rsidR="00105871" w:rsidRDefault="00105871" w:rsidP="00011FA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830B9" w14:textId="2CEF4261" w:rsidR="008C0C1F" w:rsidRPr="00092B79" w:rsidRDefault="007D1435" w:rsidP="006B6689">
    <w:pPr>
      <w:pStyle w:val="Encabezado"/>
      <w:rPr>
        <w:b/>
        <w:i/>
        <w:noProof/>
        <w:szCs w:val="24"/>
      </w:rPr>
    </w:pPr>
    <w:r>
      <w:rPr>
        <w:b/>
        <w:i/>
        <w:noProof/>
        <w:szCs w:val="24"/>
      </w:rPr>
      <w:drawing>
        <wp:anchor distT="0" distB="0" distL="114300" distR="114300" simplePos="0" relativeHeight="251661312" behindDoc="0" locked="0" layoutInCell="1" allowOverlap="1" wp14:anchorId="296D281C" wp14:editId="68065B5A">
          <wp:simplePos x="0" y="0"/>
          <wp:positionH relativeFrom="margin">
            <wp:posOffset>4886946</wp:posOffset>
          </wp:positionH>
          <wp:positionV relativeFrom="margin">
            <wp:posOffset>-1152249</wp:posOffset>
          </wp:positionV>
          <wp:extent cx="920750" cy="59753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C1F">
      <w:rPr>
        <w:noProof/>
        <w:lang w:val="es-CR" w:eastAsia="es-CR"/>
      </w:rPr>
      <w:drawing>
        <wp:anchor distT="0" distB="0" distL="114300" distR="114300" simplePos="0" relativeHeight="251658240" behindDoc="1" locked="0" layoutInCell="1" allowOverlap="1" wp14:anchorId="265C1022" wp14:editId="34E3C078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C1F" w:rsidRPr="00092B79">
      <w:rPr>
        <w:b/>
        <w:i/>
        <w:szCs w:val="24"/>
      </w:rPr>
      <w:fldChar w:fldCharType="begin"/>
    </w:r>
    <w:r w:rsidR="008C0C1F" w:rsidRPr="00092B79">
      <w:rPr>
        <w:b/>
        <w:i/>
        <w:szCs w:val="24"/>
      </w:rPr>
      <w:instrText xml:space="preserve"> STYLEREF  Supen_Encabezado  \* MERGEFORMAT </w:instrText>
    </w:r>
    <w:r w:rsidR="008C0C1F" w:rsidRPr="00092B79">
      <w:rPr>
        <w:b/>
        <w:i/>
        <w:szCs w:val="24"/>
      </w:rPr>
      <w:fldChar w:fldCharType="separate"/>
    </w:r>
    <w:r w:rsidR="006201D8">
      <w:rPr>
        <w:b/>
        <w:i/>
        <w:noProof/>
        <w:szCs w:val="24"/>
      </w:rPr>
      <w:t>SP-A-255-2022</w:t>
    </w:r>
    <w:r w:rsidR="008C0C1F" w:rsidRPr="00092B79">
      <w:rPr>
        <w:b/>
        <w:i/>
        <w:noProof/>
        <w:szCs w:val="24"/>
      </w:rPr>
      <w:fldChar w:fldCharType="end"/>
    </w:r>
  </w:p>
  <w:p w14:paraId="0371E262" w14:textId="77777777" w:rsidR="008C0C1F" w:rsidRDefault="008C0C1F" w:rsidP="006B6689">
    <w:pPr>
      <w:pStyle w:val="Encabezado"/>
      <w:rPr>
        <w:i/>
        <w:szCs w:val="24"/>
      </w:rPr>
    </w:pPr>
    <w:r>
      <w:rPr>
        <w:i/>
        <w:szCs w:val="24"/>
        <w:lang w:val="es-MX"/>
      </w:rPr>
      <w:t xml:space="preserve">Página </w:t>
    </w:r>
    <w:r w:rsidRPr="00DC38D9">
      <w:rPr>
        <w:i/>
        <w:szCs w:val="24"/>
      </w:rPr>
      <w:fldChar w:fldCharType="begin"/>
    </w:r>
    <w:r w:rsidRPr="00DC38D9">
      <w:rPr>
        <w:i/>
        <w:szCs w:val="24"/>
      </w:rPr>
      <w:instrText>PAGE   \* MERGEFORMAT</w:instrText>
    </w:r>
    <w:r w:rsidRPr="00DC38D9">
      <w:rPr>
        <w:i/>
        <w:szCs w:val="24"/>
      </w:rPr>
      <w:fldChar w:fldCharType="separate"/>
    </w:r>
    <w:r>
      <w:rPr>
        <w:i/>
        <w:noProof/>
        <w:szCs w:val="24"/>
      </w:rPr>
      <w:t>2</w:t>
    </w:r>
    <w:r w:rsidRPr="00DC38D9">
      <w:rPr>
        <w:i/>
        <w:szCs w:val="24"/>
      </w:rPr>
      <w:fldChar w:fldCharType="end"/>
    </w:r>
  </w:p>
  <w:p w14:paraId="43066D6B" w14:textId="148ED67E" w:rsidR="008C0C1F" w:rsidRPr="00DC38D9" w:rsidRDefault="008C0C1F" w:rsidP="006B6689">
    <w:pPr>
      <w:pStyle w:val="Encabezado"/>
      <w:rPr>
        <w:i/>
        <w:szCs w:val="24"/>
        <w:lang w:val="es-MX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1BF52" w14:textId="3EBC1F0B" w:rsidR="008C0C1F" w:rsidRDefault="007D1435" w:rsidP="00310D45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50F1422" wp14:editId="04AEFC61">
          <wp:simplePos x="0" y="0"/>
          <wp:positionH relativeFrom="margin">
            <wp:posOffset>4728379</wp:posOffset>
          </wp:positionH>
          <wp:positionV relativeFrom="margin">
            <wp:posOffset>-935543</wp:posOffset>
          </wp:positionV>
          <wp:extent cx="920750" cy="59753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0750" cy="5975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C1F">
      <w:rPr>
        <w:noProof/>
        <w:lang w:val="es-CR" w:eastAsia="es-CR"/>
      </w:rPr>
      <w:drawing>
        <wp:anchor distT="0" distB="0" distL="114300" distR="114300" simplePos="0" relativeHeight="251659264" behindDoc="1" locked="0" layoutInCell="1" allowOverlap="1" wp14:anchorId="5CDE19E4" wp14:editId="4F94364A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C0C1F">
      <w:tab/>
    </w:r>
    <w:r w:rsidR="008C0C1F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37F5B"/>
    <w:multiLevelType w:val="hybridMultilevel"/>
    <w:tmpl w:val="80A4B7A8"/>
    <w:lvl w:ilvl="0" w:tplc="BBCAAA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7616B80"/>
    <w:multiLevelType w:val="hybridMultilevel"/>
    <w:tmpl w:val="A8B24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A4E7C"/>
    <w:multiLevelType w:val="hybridMultilevel"/>
    <w:tmpl w:val="55E461D6"/>
    <w:lvl w:ilvl="0" w:tplc="BBCAAA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41ED5225"/>
    <w:multiLevelType w:val="hybridMultilevel"/>
    <w:tmpl w:val="5908243E"/>
    <w:lvl w:ilvl="0" w:tplc="BBCAAA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47EB47FA"/>
    <w:multiLevelType w:val="hybridMultilevel"/>
    <w:tmpl w:val="A8B24AF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32B2E"/>
    <w:multiLevelType w:val="hybridMultilevel"/>
    <w:tmpl w:val="7E3AF2F8"/>
    <w:lvl w:ilvl="0" w:tplc="93D4A840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D463DC"/>
    <w:multiLevelType w:val="hybridMultilevel"/>
    <w:tmpl w:val="8F58C434"/>
    <w:lvl w:ilvl="0" w:tplc="BBCA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EA057A"/>
    <w:multiLevelType w:val="hybridMultilevel"/>
    <w:tmpl w:val="A67A45A8"/>
    <w:lvl w:ilvl="0" w:tplc="BBCAAA2A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866" w:hanging="360"/>
      </w:pPr>
    </w:lvl>
    <w:lvl w:ilvl="2" w:tplc="140A001B" w:tentative="1">
      <w:start w:val="1"/>
      <w:numFmt w:val="lowerRoman"/>
      <w:lvlText w:val="%3."/>
      <w:lvlJc w:val="right"/>
      <w:pPr>
        <w:ind w:left="2586" w:hanging="180"/>
      </w:pPr>
    </w:lvl>
    <w:lvl w:ilvl="3" w:tplc="140A000F" w:tentative="1">
      <w:start w:val="1"/>
      <w:numFmt w:val="decimal"/>
      <w:lvlText w:val="%4."/>
      <w:lvlJc w:val="left"/>
      <w:pPr>
        <w:ind w:left="3306" w:hanging="360"/>
      </w:pPr>
    </w:lvl>
    <w:lvl w:ilvl="4" w:tplc="140A0019" w:tentative="1">
      <w:start w:val="1"/>
      <w:numFmt w:val="lowerLetter"/>
      <w:lvlText w:val="%5."/>
      <w:lvlJc w:val="left"/>
      <w:pPr>
        <w:ind w:left="4026" w:hanging="360"/>
      </w:pPr>
    </w:lvl>
    <w:lvl w:ilvl="5" w:tplc="140A001B" w:tentative="1">
      <w:start w:val="1"/>
      <w:numFmt w:val="lowerRoman"/>
      <w:lvlText w:val="%6."/>
      <w:lvlJc w:val="right"/>
      <w:pPr>
        <w:ind w:left="4746" w:hanging="180"/>
      </w:pPr>
    </w:lvl>
    <w:lvl w:ilvl="6" w:tplc="140A000F" w:tentative="1">
      <w:start w:val="1"/>
      <w:numFmt w:val="decimal"/>
      <w:lvlText w:val="%7."/>
      <w:lvlJc w:val="left"/>
      <w:pPr>
        <w:ind w:left="5466" w:hanging="360"/>
      </w:pPr>
    </w:lvl>
    <w:lvl w:ilvl="7" w:tplc="140A0019" w:tentative="1">
      <w:start w:val="1"/>
      <w:numFmt w:val="lowerLetter"/>
      <w:lvlText w:val="%8."/>
      <w:lvlJc w:val="left"/>
      <w:pPr>
        <w:ind w:left="6186" w:hanging="360"/>
      </w:pPr>
    </w:lvl>
    <w:lvl w:ilvl="8" w:tplc="14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617F1FB7"/>
    <w:multiLevelType w:val="hybridMultilevel"/>
    <w:tmpl w:val="B504DFBC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84456"/>
    <w:multiLevelType w:val="hybridMultilevel"/>
    <w:tmpl w:val="77E627E4"/>
    <w:lvl w:ilvl="0" w:tplc="BBCA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E25"/>
    <w:rsid w:val="000070F5"/>
    <w:rsid w:val="00011FAB"/>
    <w:rsid w:val="000135FE"/>
    <w:rsid w:val="00021ADD"/>
    <w:rsid w:val="00024EEB"/>
    <w:rsid w:val="000421CB"/>
    <w:rsid w:val="000506B7"/>
    <w:rsid w:val="00062CA9"/>
    <w:rsid w:val="0006650E"/>
    <w:rsid w:val="00067BA9"/>
    <w:rsid w:val="00077846"/>
    <w:rsid w:val="000914EF"/>
    <w:rsid w:val="00092B79"/>
    <w:rsid w:val="00095A2B"/>
    <w:rsid w:val="000A1695"/>
    <w:rsid w:val="000A22A2"/>
    <w:rsid w:val="000A367E"/>
    <w:rsid w:val="000A587E"/>
    <w:rsid w:val="000B3104"/>
    <w:rsid w:val="000C5440"/>
    <w:rsid w:val="000F0254"/>
    <w:rsid w:val="000F1B80"/>
    <w:rsid w:val="000F20BC"/>
    <w:rsid w:val="000F343E"/>
    <w:rsid w:val="000F7BC0"/>
    <w:rsid w:val="00100681"/>
    <w:rsid w:val="0010390B"/>
    <w:rsid w:val="00105871"/>
    <w:rsid w:val="00107ED5"/>
    <w:rsid w:val="001141B7"/>
    <w:rsid w:val="00124300"/>
    <w:rsid w:val="00125A13"/>
    <w:rsid w:val="00127932"/>
    <w:rsid w:val="00127F1B"/>
    <w:rsid w:val="00140E5A"/>
    <w:rsid w:val="0014390F"/>
    <w:rsid w:val="00172673"/>
    <w:rsid w:val="00172E91"/>
    <w:rsid w:val="001B504D"/>
    <w:rsid w:val="001B67E6"/>
    <w:rsid w:val="001C7469"/>
    <w:rsid w:val="001C79DC"/>
    <w:rsid w:val="001D18BF"/>
    <w:rsid w:val="001D3394"/>
    <w:rsid w:val="001D59C6"/>
    <w:rsid w:val="001D7091"/>
    <w:rsid w:val="001E3490"/>
    <w:rsid w:val="001F1009"/>
    <w:rsid w:val="002073B7"/>
    <w:rsid w:val="00211F3B"/>
    <w:rsid w:val="002257D1"/>
    <w:rsid w:val="0025216C"/>
    <w:rsid w:val="00261F6E"/>
    <w:rsid w:val="00262F5C"/>
    <w:rsid w:val="00266E39"/>
    <w:rsid w:val="0026796D"/>
    <w:rsid w:val="00277C51"/>
    <w:rsid w:val="00291B81"/>
    <w:rsid w:val="00295482"/>
    <w:rsid w:val="002A4FCD"/>
    <w:rsid w:val="002B4F95"/>
    <w:rsid w:val="002C2D6C"/>
    <w:rsid w:val="002C4C8C"/>
    <w:rsid w:val="002D3246"/>
    <w:rsid w:val="002E0D1A"/>
    <w:rsid w:val="002E6179"/>
    <w:rsid w:val="002E7CF5"/>
    <w:rsid w:val="002F0201"/>
    <w:rsid w:val="002F0CD8"/>
    <w:rsid w:val="00302815"/>
    <w:rsid w:val="00303B4A"/>
    <w:rsid w:val="00304532"/>
    <w:rsid w:val="00305EDC"/>
    <w:rsid w:val="00307875"/>
    <w:rsid w:val="00310D45"/>
    <w:rsid w:val="00311229"/>
    <w:rsid w:val="003155C5"/>
    <w:rsid w:val="003177A7"/>
    <w:rsid w:val="003262D5"/>
    <w:rsid w:val="003319E3"/>
    <w:rsid w:val="00334ACF"/>
    <w:rsid w:val="00335511"/>
    <w:rsid w:val="00335677"/>
    <w:rsid w:val="003419A0"/>
    <w:rsid w:val="00345B83"/>
    <w:rsid w:val="00347408"/>
    <w:rsid w:val="00347829"/>
    <w:rsid w:val="003515B8"/>
    <w:rsid w:val="003570BB"/>
    <w:rsid w:val="00361929"/>
    <w:rsid w:val="003621B6"/>
    <w:rsid w:val="003658BB"/>
    <w:rsid w:val="003674AD"/>
    <w:rsid w:val="00377CEE"/>
    <w:rsid w:val="00381759"/>
    <w:rsid w:val="00387CD6"/>
    <w:rsid w:val="003A06F4"/>
    <w:rsid w:val="003A116E"/>
    <w:rsid w:val="003B667F"/>
    <w:rsid w:val="003B7C19"/>
    <w:rsid w:val="003C5F4D"/>
    <w:rsid w:val="003D35CA"/>
    <w:rsid w:val="003D4A24"/>
    <w:rsid w:val="003E5E87"/>
    <w:rsid w:val="003F0F3A"/>
    <w:rsid w:val="00405AB2"/>
    <w:rsid w:val="00413B95"/>
    <w:rsid w:val="00421774"/>
    <w:rsid w:val="0042790D"/>
    <w:rsid w:val="00432490"/>
    <w:rsid w:val="00443956"/>
    <w:rsid w:val="00451FBE"/>
    <w:rsid w:val="0045287A"/>
    <w:rsid w:val="004565B1"/>
    <w:rsid w:val="00464393"/>
    <w:rsid w:val="00465C45"/>
    <w:rsid w:val="00473685"/>
    <w:rsid w:val="00476E30"/>
    <w:rsid w:val="00477218"/>
    <w:rsid w:val="00481DD5"/>
    <w:rsid w:val="00484927"/>
    <w:rsid w:val="0048526F"/>
    <w:rsid w:val="004A2C15"/>
    <w:rsid w:val="004B267F"/>
    <w:rsid w:val="004B3D1D"/>
    <w:rsid w:val="004D6314"/>
    <w:rsid w:val="004E4A7E"/>
    <w:rsid w:val="004F21B2"/>
    <w:rsid w:val="004F4DDE"/>
    <w:rsid w:val="0050511E"/>
    <w:rsid w:val="00507921"/>
    <w:rsid w:val="00510B84"/>
    <w:rsid w:val="005123FD"/>
    <w:rsid w:val="0051272B"/>
    <w:rsid w:val="00537AEC"/>
    <w:rsid w:val="005429B7"/>
    <w:rsid w:val="005445CE"/>
    <w:rsid w:val="0055285B"/>
    <w:rsid w:val="0055396E"/>
    <w:rsid w:val="00567ADC"/>
    <w:rsid w:val="00576F3D"/>
    <w:rsid w:val="0058753F"/>
    <w:rsid w:val="0059081B"/>
    <w:rsid w:val="005922A4"/>
    <w:rsid w:val="00593CC0"/>
    <w:rsid w:val="00594A6E"/>
    <w:rsid w:val="005A55A4"/>
    <w:rsid w:val="005B1005"/>
    <w:rsid w:val="005B2218"/>
    <w:rsid w:val="005C18F6"/>
    <w:rsid w:val="005E2218"/>
    <w:rsid w:val="005E4A8B"/>
    <w:rsid w:val="00602B4B"/>
    <w:rsid w:val="006038EE"/>
    <w:rsid w:val="006078F5"/>
    <w:rsid w:val="0061092B"/>
    <w:rsid w:val="006201D8"/>
    <w:rsid w:val="00620A5D"/>
    <w:rsid w:val="00621251"/>
    <w:rsid w:val="00630614"/>
    <w:rsid w:val="00632D4D"/>
    <w:rsid w:val="00633A70"/>
    <w:rsid w:val="0063576A"/>
    <w:rsid w:val="006462CC"/>
    <w:rsid w:val="00655F83"/>
    <w:rsid w:val="006803D3"/>
    <w:rsid w:val="006B6689"/>
    <w:rsid w:val="006C452D"/>
    <w:rsid w:val="006C4D9E"/>
    <w:rsid w:val="006C5791"/>
    <w:rsid w:val="006D2E2A"/>
    <w:rsid w:val="006D5B49"/>
    <w:rsid w:val="006F1587"/>
    <w:rsid w:val="006F5308"/>
    <w:rsid w:val="006F58C1"/>
    <w:rsid w:val="006F787D"/>
    <w:rsid w:val="00722522"/>
    <w:rsid w:val="007274CA"/>
    <w:rsid w:val="00732D8B"/>
    <w:rsid w:val="00733053"/>
    <w:rsid w:val="00757388"/>
    <w:rsid w:val="00763296"/>
    <w:rsid w:val="00763F24"/>
    <w:rsid w:val="0076656D"/>
    <w:rsid w:val="0076689E"/>
    <w:rsid w:val="00770730"/>
    <w:rsid w:val="00775B6A"/>
    <w:rsid w:val="00777B01"/>
    <w:rsid w:val="00784B66"/>
    <w:rsid w:val="0079478E"/>
    <w:rsid w:val="00797D4F"/>
    <w:rsid w:val="007A2725"/>
    <w:rsid w:val="007A5442"/>
    <w:rsid w:val="007A6401"/>
    <w:rsid w:val="007A689B"/>
    <w:rsid w:val="007A6D11"/>
    <w:rsid w:val="007B253B"/>
    <w:rsid w:val="007C157B"/>
    <w:rsid w:val="007C3387"/>
    <w:rsid w:val="007D1435"/>
    <w:rsid w:val="007D3018"/>
    <w:rsid w:val="007D711F"/>
    <w:rsid w:val="007E7168"/>
    <w:rsid w:val="007E7942"/>
    <w:rsid w:val="007F36F8"/>
    <w:rsid w:val="008051AB"/>
    <w:rsid w:val="008105E4"/>
    <w:rsid w:val="008241BB"/>
    <w:rsid w:val="00826C90"/>
    <w:rsid w:val="00826EC1"/>
    <w:rsid w:val="008308B4"/>
    <w:rsid w:val="00830E5A"/>
    <w:rsid w:val="00832382"/>
    <w:rsid w:val="00841E75"/>
    <w:rsid w:val="0085032C"/>
    <w:rsid w:val="00851CCD"/>
    <w:rsid w:val="00862E74"/>
    <w:rsid w:val="008805A6"/>
    <w:rsid w:val="008A098B"/>
    <w:rsid w:val="008A2601"/>
    <w:rsid w:val="008A4765"/>
    <w:rsid w:val="008B0B49"/>
    <w:rsid w:val="008C0C1F"/>
    <w:rsid w:val="008C1B45"/>
    <w:rsid w:val="008D0EF8"/>
    <w:rsid w:val="008E076A"/>
    <w:rsid w:val="008F5462"/>
    <w:rsid w:val="00900BA6"/>
    <w:rsid w:val="00923986"/>
    <w:rsid w:val="0092596C"/>
    <w:rsid w:val="00926066"/>
    <w:rsid w:val="009332DB"/>
    <w:rsid w:val="009439BD"/>
    <w:rsid w:val="00946D5A"/>
    <w:rsid w:val="00951578"/>
    <w:rsid w:val="00952852"/>
    <w:rsid w:val="00952B96"/>
    <w:rsid w:val="009536A5"/>
    <w:rsid w:val="00960A28"/>
    <w:rsid w:val="009660BB"/>
    <w:rsid w:val="00967B19"/>
    <w:rsid w:val="009769E1"/>
    <w:rsid w:val="00980E25"/>
    <w:rsid w:val="00983FD6"/>
    <w:rsid w:val="009913CA"/>
    <w:rsid w:val="0099516C"/>
    <w:rsid w:val="00995B23"/>
    <w:rsid w:val="009B3671"/>
    <w:rsid w:val="009B475A"/>
    <w:rsid w:val="009D395B"/>
    <w:rsid w:val="009E6DB2"/>
    <w:rsid w:val="009F5B20"/>
    <w:rsid w:val="009F7C79"/>
    <w:rsid w:val="00A0168D"/>
    <w:rsid w:val="00A04D09"/>
    <w:rsid w:val="00A0540D"/>
    <w:rsid w:val="00A120AD"/>
    <w:rsid w:val="00A241E6"/>
    <w:rsid w:val="00A45EFC"/>
    <w:rsid w:val="00A47569"/>
    <w:rsid w:val="00A4778B"/>
    <w:rsid w:val="00A60740"/>
    <w:rsid w:val="00A60911"/>
    <w:rsid w:val="00A67F6F"/>
    <w:rsid w:val="00A75B75"/>
    <w:rsid w:val="00A77E41"/>
    <w:rsid w:val="00A80469"/>
    <w:rsid w:val="00A82CE0"/>
    <w:rsid w:val="00A95D78"/>
    <w:rsid w:val="00A9750B"/>
    <w:rsid w:val="00AA3BE4"/>
    <w:rsid w:val="00AA6C06"/>
    <w:rsid w:val="00AA783A"/>
    <w:rsid w:val="00AB0EA7"/>
    <w:rsid w:val="00AB116C"/>
    <w:rsid w:val="00AC6495"/>
    <w:rsid w:val="00AD10D3"/>
    <w:rsid w:val="00AE22BB"/>
    <w:rsid w:val="00AF3B9B"/>
    <w:rsid w:val="00AF7580"/>
    <w:rsid w:val="00B00863"/>
    <w:rsid w:val="00B00E0A"/>
    <w:rsid w:val="00B10404"/>
    <w:rsid w:val="00B1390F"/>
    <w:rsid w:val="00B20060"/>
    <w:rsid w:val="00B37B68"/>
    <w:rsid w:val="00B442DB"/>
    <w:rsid w:val="00B56406"/>
    <w:rsid w:val="00B56771"/>
    <w:rsid w:val="00B57635"/>
    <w:rsid w:val="00B64F21"/>
    <w:rsid w:val="00B65020"/>
    <w:rsid w:val="00B65E0E"/>
    <w:rsid w:val="00B67D5C"/>
    <w:rsid w:val="00B73B5B"/>
    <w:rsid w:val="00B81A10"/>
    <w:rsid w:val="00B859A2"/>
    <w:rsid w:val="00B92A86"/>
    <w:rsid w:val="00B933D8"/>
    <w:rsid w:val="00B97E6F"/>
    <w:rsid w:val="00BB37DE"/>
    <w:rsid w:val="00BC6810"/>
    <w:rsid w:val="00BC7177"/>
    <w:rsid w:val="00BD382D"/>
    <w:rsid w:val="00BD5F5A"/>
    <w:rsid w:val="00BE078A"/>
    <w:rsid w:val="00C015B1"/>
    <w:rsid w:val="00C13156"/>
    <w:rsid w:val="00C1433C"/>
    <w:rsid w:val="00C144B7"/>
    <w:rsid w:val="00C2769C"/>
    <w:rsid w:val="00C3155A"/>
    <w:rsid w:val="00C417AC"/>
    <w:rsid w:val="00C50E48"/>
    <w:rsid w:val="00C5275A"/>
    <w:rsid w:val="00C54834"/>
    <w:rsid w:val="00C90A71"/>
    <w:rsid w:val="00C91004"/>
    <w:rsid w:val="00CA022E"/>
    <w:rsid w:val="00CA16C2"/>
    <w:rsid w:val="00CB4DCE"/>
    <w:rsid w:val="00CB6EB7"/>
    <w:rsid w:val="00CC0335"/>
    <w:rsid w:val="00CC2175"/>
    <w:rsid w:val="00CC24BF"/>
    <w:rsid w:val="00CD1BF0"/>
    <w:rsid w:val="00CD5928"/>
    <w:rsid w:val="00CF5239"/>
    <w:rsid w:val="00D029E6"/>
    <w:rsid w:val="00D04657"/>
    <w:rsid w:val="00D06206"/>
    <w:rsid w:val="00D0661A"/>
    <w:rsid w:val="00D336F0"/>
    <w:rsid w:val="00D34773"/>
    <w:rsid w:val="00D34FFE"/>
    <w:rsid w:val="00D350B3"/>
    <w:rsid w:val="00D440C1"/>
    <w:rsid w:val="00D44D1F"/>
    <w:rsid w:val="00D558E2"/>
    <w:rsid w:val="00D61945"/>
    <w:rsid w:val="00D6604D"/>
    <w:rsid w:val="00D766AB"/>
    <w:rsid w:val="00D80206"/>
    <w:rsid w:val="00D859F5"/>
    <w:rsid w:val="00D86CC1"/>
    <w:rsid w:val="00D87BC9"/>
    <w:rsid w:val="00DA5F5C"/>
    <w:rsid w:val="00DA6BED"/>
    <w:rsid w:val="00DC2CD7"/>
    <w:rsid w:val="00DC38D9"/>
    <w:rsid w:val="00DD729A"/>
    <w:rsid w:val="00DE7190"/>
    <w:rsid w:val="00DF34FC"/>
    <w:rsid w:val="00DF5486"/>
    <w:rsid w:val="00DF5603"/>
    <w:rsid w:val="00DF6DFB"/>
    <w:rsid w:val="00E05CB3"/>
    <w:rsid w:val="00E06360"/>
    <w:rsid w:val="00E06461"/>
    <w:rsid w:val="00E2772D"/>
    <w:rsid w:val="00E312ED"/>
    <w:rsid w:val="00E3145F"/>
    <w:rsid w:val="00E31B06"/>
    <w:rsid w:val="00E34C1C"/>
    <w:rsid w:val="00E42EFF"/>
    <w:rsid w:val="00E459C6"/>
    <w:rsid w:val="00E55725"/>
    <w:rsid w:val="00E72DE7"/>
    <w:rsid w:val="00E73EF8"/>
    <w:rsid w:val="00E75AF5"/>
    <w:rsid w:val="00E7738B"/>
    <w:rsid w:val="00E82519"/>
    <w:rsid w:val="00E95D96"/>
    <w:rsid w:val="00EA0753"/>
    <w:rsid w:val="00EA1A49"/>
    <w:rsid w:val="00EB0F38"/>
    <w:rsid w:val="00EB1B6B"/>
    <w:rsid w:val="00EB5060"/>
    <w:rsid w:val="00EC1B04"/>
    <w:rsid w:val="00EE06E8"/>
    <w:rsid w:val="00EE19E0"/>
    <w:rsid w:val="00EE2767"/>
    <w:rsid w:val="00EE3DE8"/>
    <w:rsid w:val="00EE58B8"/>
    <w:rsid w:val="00EF04B3"/>
    <w:rsid w:val="00EF76C9"/>
    <w:rsid w:val="00F0134D"/>
    <w:rsid w:val="00F07B78"/>
    <w:rsid w:val="00F104A1"/>
    <w:rsid w:val="00F1137F"/>
    <w:rsid w:val="00F23798"/>
    <w:rsid w:val="00F26AE6"/>
    <w:rsid w:val="00F432E8"/>
    <w:rsid w:val="00F44087"/>
    <w:rsid w:val="00F45755"/>
    <w:rsid w:val="00F51952"/>
    <w:rsid w:val="00F560CF"/>
    <w:rsid w:val="00F57041"/>
    <w:rsid w:val="00F65429"/>
    <w:rsid w:val="00F7760F"/>
    <w:rsid w:val="00F80446"/>
    <w:rsid w:val="00F80FC5"/>
    <w:rsid w:val="00F84625"/>
    <w:rsid w:val="00F8651C"/>
    <w:rsid w:val="00F909F4"/>
    <w:rsid w:val="00FA491E"/>
    <w:rsid w:val="00FB0290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5726F43"/>
  <w15:docId w15:val="{29BBFD5A-2A36-4BD4-9B7F-F38B269CC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9536A5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SupenEncabezadoCar">
    <w:name w:val="Supen_Encabezado Car"/>
    <w:basedOn w:val="Fuentedeprrafopredeter"/>
    <w:link w:val="SupenEncabezado"/>
    <w:rsid w:val="009536A5"/>
    <w:rPr>
      <w:rFonts w:ascii="Times New Roman" w:hAnsi="Times New Roman"/>
      <w:sz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07921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921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39"/>
    <w:rsid w:val="00680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D336F0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2D3246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D3246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semiHidden/>
    <w:rsid w:val="002D3246"/>
    <w:rPr>
      <w:vertAlign w:val="superscript"/>
    </w:rPr>
  </w:style>
  <w:style w:type="paragraph" w:customStyle="1" w:styleId="Default">
    <w:name w:val="Default"/>
    <w:rsid w:val="00AC649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R"/>
    </w:rPr>
  </w:style>
  <w:style w:type="character" w:styleId="Refdecomentario">
    <w:name w:val="annotation reference"/>
    <w:basedOn w:val="Fuentedeprrafopredeter"/>
    <w:uiPriority w:val="99"/>
    <w:semiHidden/>
    <w:unhideWhenUsed/>
    <w:rsid w:val="00E34C1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4C1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4C1C"/>
    <w:rPr>
      <w:rFonts w:ascii="Times New Roman" w:hAnsi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4C1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4C1C"/>
    <w:rPr>
      <w:rFonts w:ascii="Times New Roman" w:hAnsi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B1390F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8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os%20Usuarios\ROJASVI\Downloads\Script_plantillas_SUPEN_V2\archivos\Machote%20SP-A%20Superintenden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33B443C32D4BBA84994ED171411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39BC8-58F5-4BA5-B464-A4761809EBEB}"/>
      </w:docPartPr>
      <w:docPartBody>
        <w:p w:rsidR="008E064E" w:rsidRDefault="008E064E">
          <w:pPr>
            <w:pStyle w:val="5133B443C32D4BBA84994ED17141131F"/>
          </w:pPr>
          <w:r>
            <w:rPr>
              <w:rStyle w:val="Textodelmarcadordeposicin"/>
            </w:rPr>
            <w:t>Ingrese aquí el SP-A-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64E"/>
    <w:rsid w:val="000164FC"/>
    <w:rsid w:val="000E452A"/>
    <w:rsid w:val="00163415"/>
    <w:rsid w:val="002E7559"/>
    <w:rsid w:val="003878CA"/>
    <w:rsid w:val="007C1C89"/>
    <w:rsid w:val="008E064E"/>
    <w:rsid w:val="00AC3658"/>
    <w:rsid w:val="00C171BD"/>
    <w:rsid w:val="00D920DF"/>
    <w:rsid w:val="00E6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5133B443C32D4BBA84994ED17141131F">
    <w:name w:val="5133B443C32D4BBA84994ED17141131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vento xmlns="6c2d2cf2-004b-47d1-b91d-f9a62dc21bae">
      <Url>https://si.supen.fi.cr/Tramites/Tram_Detalle_Evento.aspx?evento=2022063316&amp;op=3</Url>
      <Description>2022063316</Description>
    </Event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8F7ED7A8DC944786D775C5860668D9" ma:contentTypeVersion="7" ma:contentTypeDescription="Crear nuevo documento." ma:contentTypeScope="" ma:versionID="18b833d4a4568477dbe65e6381625d28">
  <xsd:schema xmlns:xsd="http://www.w3.org/2001/XMLSchema" xmlns:xs="http://www.w3.org/2001/XMLSchema" xmlns:p="http://schemas.microsoft.com/office/2006/metadata/properties" xmlns:ns2="6c2d2cf2-004b-47d1-b91d-f9a62dc21bae" targetNamespace="http://schemas.microsoft.com/office/2006/metadata/properties" ma:root="true" ma:fieldsID="fc25ecc9a4813553ccaeeae26d5c5c19" ns2:_="">
    <xsd:import namespace="6c2d2cf2-004b-47d1-b91d-f9a62dc21bae"/>
    <xsd:element name="properties">
      <xsd:complexType>
        <xsd:sequence>
          <xsd:element name="documentManagement">
            <xsd:complexType>
              <xsd:all>
                <xsd:element ref="ns2:Evento" minOccurs="0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d2cf2-004b-47d1-b91d-f9a62dc21bae" elementFormDefault="qualified">
    <xsd:import namespace="http://schemas.microsoft.com/office/2006/documentManagement/types"/>
    <xsd:import namespace="http://schemas.microsoft.com/office/infopath/2007/PartnerControls"/>
    <xsd:element name="Evento" ma:index="8" nillable="true" ma:displayName="Evento" ma:format="Hyperlink" ma:internalName="Evento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451BD-6067-48EB-80C7-A07A167F2540}">
  <ds:schemaRefs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6c2d2cf2-004b-47d1-b91d-f9a62dc21bae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815300E-284C-4819-8E30-13612FB1DE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d2cf2-004b-47d1-b91d-f9a62dc21b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F81941-D782-4B8C-BA9A-D477A784434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44D077-D5FD-4E1D-A950-D1AD9E7B90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SP-A Superintendente.dotm</Template>
  <TotalTime>2</TotalTime>
  <Pages>3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2022SPA255.docx</dc:title>
  <dc:subject/>
  <dc:creator>ROJAS VALVERDE DIEGO ANTONIO</dc:creator>
  <cp:keywords/>
  <dc:description/>
  <cp:lastModifiedBy>RODRIGUEZ BOVIERI GIANFRANCO</cp:lastModifiedBy>
  <cp:revision>2</cp:revision>
  <cp:lastPrinted>2016-11-07T18:19:00Z</cp:lastPrinted>
  <dcterms:created xsi:type="dcterms:W3CDTF">2022-09-08T14:59:00Z</dcterms:created>
  <dcterms:modified xsi:type="dcterms:W3CDTF">2022-09-08T14:59:00Z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0x010100598F7ED7A8DC944786D775C5860668D9</vt:lpwstr>
  </property>
</Properties>
</file>